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EE" w:rsidRPr="00843BEE" w:rsidRDefault="00843BEE" w:rsidP="00843BEE">
      <w:pPr>
        <w:spacing w:after="0" w:line="240" w:lineRule="auto"/>
        <w:jc w:val="center"/>
        <w:rPr>
          <w:sz w:val="56"/>
          <w:szCs w:val="56"/>
        </w:rPr>
      </w:pPr>
      <w:r w:rsidRPr="00843BEE">
        <w:rPr>
          <w:sz w:val="56"/>
          <w:szCs w:val="56"/>
        </w:rPr>
        <w:t>STŘEDNÍ PRŮMYSLOVÁ ŠKOLA STAVEBNÍ</w:t>
      </w: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Pr="00973A47" w:rsidRDefault="00843BEE" w:rsidP="00843BEE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80"/>
          <w:szCs w:val="80"/>
        </w:rPr>
        <w:t>ZDRAVOTNÍ TECHNIKA</w:t>
      </w:r>
      <w:r>
        <w:rPr>
          <w:b/>
          <w:sz w:val="80"/>
          <w:szCs w:val="80"/>
        </w:rPr>
        <w:t xml:space="preserve"> </w:t>
      </w:r>
    </w:p>
    <w:p w:rsidR="00843BEE" w:rsidRDefault="00843BEE" w:rsidP="00843BEE">
      <w:pPr>
        <w:spacing w:after="0" w:line="240" w:lineRule="auto"/>
      </w:pPr>
    </w:p>
    <w:p w:rsidR="00843BEE" w:rsidRDefault="00843BEE" w:rsidP="00EC2E73">
      <w:pPr>
        <w:spacing w:after="0" w:line="240" w:lineRule="auto"/>
        <w:jc w:val="center"/>
      </w:pPr>
      <w:r>
        <w:rPr>
          <w:b/>
          <w:sz w:val="60"/>
          <w:szCs w:val="60"/>
        </w:rPr>
        <w:t>3</w:t>
      </w:r>
      <w:r w:rsidRPr="007A7268">
        <w:rPr>
          <w:b/>
          <w:sz w:val="60"/>
          <w:szCs w:val="60"/>
        </w:rPr>
        <w:t>. ročník</w:t>
      </w: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EC2E73" w:rsidP="00843BEE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43F9C2" wp14:editId="0DD13ABB">
            <wp:simplePos x="0" y="0"/>
            <wp:positionH relativeFrom="margin">
              <wp:align>center</wp:align>
            </wp:positionH>
            <wp:positionV relativeFrom="paragraph">
              <wp:posOffset>9923</wp:posOffset>
            </wp:positionV>
            <wp:extent cx="2276475" cy="2466975"/>
            <wp:effectExtent l="0" t="0" r="9525" b="9525"/>
            <wp:wrapSquare wrapText="bothSides"/>
            <wp:docPr id="14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4A57D9" w:rsidP="004A57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43BEE" w:rsidRPr="00973A47">
        <w:rPr>
          <w:sz w:val="36"/>
          <w:szCs w:val="36"/>
        </w:rPr>
        <w:t>ŠKOLNÍ ROK</w:t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</w:t>
      </w:r>
      <w:r w:rsidR="00843BEE">
        <w:rPr>
          <w:sz w:val="36"/>
          <w:szCs w:val="36"/>
        </w:rPr>
        <w:t xml:space="preserve"> ………………………… </w:t>
      </w:r>
    </w:p>
    <w:p w:rsidR="00843BEE" w:rsidRDefault="004A57D9" w:rsidP="004A57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43BEE" w:rsidRPr="00973A47">
        <w:rPr>
          <w:sz w:val="36"/>
          <w:szCs w:val="36"/>
        </w:rPr>
        <w:t>20</w:t>
      </w:r>
      <w:r w:rsidR="00843BEE">
        <w:rPr>
          <w:sz w:val="36"/>
          <w:szCs w:val="36"/>
        </w:rPr>
        <w:t>2</w:t>
      </w:r>
      <w:r w:rsidR="00843BEE">
        <w:rPr>
          <w:sz w:val="36"/>
          <w:szCs w:val="36"/>
        </w:rPr>
        <w:t>3</w:t>
      </w:r>
      <w:r w:rsidR="00843BEE" w:rsidRPr="00973A47">
        <w:rPr>
          <w:sz w:val="36"/>
          <w:szCs w:val="36"/>
        </w:rPr>
        <w:t>/20</w:t>
      </w:r>
      <w:r w:rsidR="00843BEE">
        <w:rPr>
          <w:sz w:val="36"/>
          <w:szCs w:val="36"/>
        </w:rPr>
        <w:t>2</w:t>
      </w:r>
      <w:r w:rsidR="00843BEE">
        <w:rPr>
          <w:sz w:val="36"/>
          <w:szCs w:val="36"/>
        </w:rPr>
        <w:t>4</w:t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</w:t>
      </w:r>
      <w:r w:rsidR="00843BEE">
        <w:rPr>
          <w:sz w:val="36"/>
          <w:szCs w:val="36"/>
        </w:rPr>
        <w:t>Třída T</w:t>
      </w:r>
      <w:r w:rsidR="002A49DA">
        <w:rPr>
          <w:sz w:val="36"/>
          <w:szCs w:val="36"/>
        </w:rPr>
        <w:t>S</w:t>
      </w:r>
      <w:r w:rsidR="00843BEE">
        <w:rPr>
          <w:sz w:val="36"/>
          <w:szCs w:val="36"/>
        </w:rPr>
        <w:t>3</w:t>
      </w:r>
    </w:p>
    <w:p w:rsidR="002A49DA" w:rsidRDefault="002A49DA" w:rsidP="00843BEE">
      <w:pPr>
        <w:spacing w:after="0" w:line="240" w:lineRule="auto"/>
        <w:ind w:firstLine="708"/>
        <w:rPr>
          <w:sz w:val="36"/>
          <w:szCs w:val="36"/>
        </w:rPr>
      </w:pPr>
    </w:p>
    <w:p w:rsidR="002A49DA" w:rsidRDefault="002A49DA" w:rsidP="00843BEE">
      <w:pPr>
        <w:spacing w:after="0" w:line="240" w:lineRule="auto"/>
        <w:ind w:firstLine="708"/>
        <w:rPr>
          <w:sz w:val="36"/>
          <w:szCs w:val="36"/>
        </w:rPr>
      </w:pPr>
    </w:p>
    <w:p w:rsidR="004A57D9" w:rsidRDefault="004A57D9" w:rsidP="004A57D9">
      <w:pPr>
        <w:jc w:val="both"/>
        <w:rPr>
          <w:rFonts w:ascii="Arial" w:hAnsi="Arial" w:cs="Arial"/>
          <w:b/>
          <w:sz w:val="40"/>
          <w:szCs w:val="40"/>
          <w:highlight w:val="yellow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OBSAH UČIVA  </w:t>
      </w:r>
    </w:p>
    <w:p w:rsidR="004A57D9" w:rsidRPr="002A49DA" w:rsidRDefault="004A57D9" w:rsidP="004A57D9">
      <w:pPr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t>3. ročník - Kanalizace</w:t>
      </w:r>
    </w:p>
    <w:p w:rsidR="004A57D9" w:rsidRPr="002A49DA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 xml:space="preserve">Typologie a zařizovací předměty </w:t>
      </w:r>
      <w:r w:rsidRPr="002A49DA">
        <w:rPr>
          <w:rFonts w:ascii="Arial" w:hAnsi="Arial" w:cs="Arial"/>
          <w:sz w:val="24"/>
          <w:szCs w:val="24"/>
        </w:rPr>
        <w:tab/>
        <w:t xml:space="preserve"> 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</w:p>
    <w:p w:rsidR="004A57D9" w:rsidRPr="002A49DA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 xml:space="preserve">Materiálové provedení kanalizace   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</w:p>
    <w:p w:rsidR="004A57D9" w:rsidRPr="002A49DA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 xml:space="preserve">Vnitřní kanalizace – připojovací a odpadní potrubí 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</w:p>
    <w:p w:rsidR="004A57D9" w:rsidRPr="002A49DA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 xml:space="preserve">Vnitřní kanalizace – svodné a dešťové potrubí 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</w:p>
    <w:p w:rsidR="004A57D9" w:rsidRPr="002A49DA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>Dimenzování vnitřní kanalizace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</w:p>
    <w:p w:rsidR="004A57D9" w:rsidRPr="002A49DA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 xml:space="preserve">Kanalizační přípojky a ČOV  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  <w:t xml:space="preserve"> </w:t>
      </w:r>
      <w:r w:rsidRPr="002A49DA">
        <w:rPr>
          <w:rFonts w:ascii="Arial" w:hAnsi="Arial" w:cs="Arial"/>
          <w:sz w:val="24"/>
          <w:szCs w:val="24"/>
        </w:rPr>
        <w:tab/>
      </w:r>
    </w:p>
    <w:p w:rsidR="004A57D9" w:rsidRPr="002A49DA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 xml:space="preserve">Stoky a objekty na stokových sítích  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16"/>
          <w:szCs w:val="16"/>
        </w:rPr>
        <w:t xml:space="preserve">   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</w:p>
    <w:p w:rsidR="004A57D9" w:rsidRPr="002A49DA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 xml:space="preserve">Projektování vnitřní kanalizace  </w:t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  <w:r w:rsidRPr="002A49DA">
        <w:rPr>
          <w:rFonts w:ascii="Arial" w:hAnsi="Arial" w:cs="Arial"/>
          <w:sz w:val="24"/>
          <w:szCs w:val="24"/>
        </w:rPr>
        <w:tab/>
      </w:r>
    </w:p>
    <w:p w:rsid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DA">
        <w:rPr>
          <w:rFonts w:ascii="Arial" w:hAnsi="Arial" w:cs="Arial"/>
          <w:sz w:val="24"/>
          <w:szCs w:val="24"/>
        </w:rPr>
        <w:t xml:space="preserve">Vodárenství a vodovodní přípojky </w:t>
      </w:r>
    </w:p>
    <w:p w:rsid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7D9" w:rsidRPr="002A49DA" w:rsidRDefault="004A57D9" w:rsidP="004A57D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ročník - Vodovod</w:t>
      </w:r>
    </w:p>
    <w:p w:rsidR="004A57D9" w:rsidRPr="004A57D9" w:rsidRDefault="004A57D9" w:rsidP="004A57D9">
      <w:pPr>
        <w:spacing w:after="0" w:line="240" w:lineRule="auto"/>
        <w:ind w:left="-73"/>
        <w:rPr>
          <w:rFonts w:ascii="Arial" w:hAnsi="Arial" w:cs="Arial"/>
          <w:sz w:val="24"/>
          <w:szCs w:val="24"/>
        </w:rPr>
      </w:pPr>
      <w:r w:rsidRPr="004A57D9">
        <w:rPr>
          <w:rFonts w:ascii="Arial" w:hAnsi="Arial" w:cs="Arial"/>
          <w:sz w:val="24"/>
          <w:szCs w:val="24"/>
        </w:rPr>
        <w:tab/>
        <w:t xml:space="preserve">Vnitřní vodovod </w:t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</w:p>
    <w:p w:rsidR="004A57D9" w:rsidRP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7D9">
        <w:rPr>
          <w:rFonts w:ascii="Arial" w:hAnsi="Arial" w:cs="Arial"/>
          <w:sz w:val="24"/>
          <w:szCs w:val="24"/>
        </w:rPr>
        <w:t>Vedení vnitřních vodovodů a kompenzátory</w:t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</w:p>
    <w:p w:rsidR="004A57D9" w:rsidRP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7D9">
        <w:rPr>
          <w:rFonts w:ascii="Arial" w:hAnsi="Arial" w:cs="Arial"/>
          <w:sz w:val="24"/>
          <w:szCs w:val="24"/>
        </w:rPr>
        <w:t>Stanovení výpočtového průtoku vnitřních vodovodů</w:t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</w:p>
    <w:p w:rsidR="004A57D9" w:rsidRP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7D9">
        <w:rPr>
          <w:rFonts w:ascii="Arial" w:hAnsi="Arial" w:cs="Arial"/>
          <w:sz w:val="24"/>
          <w:szCs w:val="24"/>
        </w:rPr>
        <w:t xml:space="preserve">Výpočet vnitřních vodovodů </w:t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</w:p>
    <w:p w:rsidR="004A57D9" w:rsidRP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7D9">
        <w:rPr>
          <w:rFonts w:ascii="Arial" w:hAnsi="Arial" w:cs="Arial"/>
          <w:sz w:val="24"/>
          <w:szCs w:val="24"/>
        </w:rPr>
        <w:t xml:space="preserve">Příprava a rozvody teplé vody  </w:t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</w:p>
    <w:p w:rsidR="004A57D9" w:rsidRP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7D9">
        <w:rPr>
          <w:rFonts w:ascii="Arial" w:hAnsi="Arial" w:cs="Arial"/>
          <w:sz w:val="24"/>
          <w:szCs w:val="24"/>
        </w:rPr>
        <w:t xml:space="preserve">Projektování vnitřního vodovodu </w:t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</w:p>
    <w:p w:rsidR="004A57D9" w:rsidRP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7D9" w:rsidRDefault="004A57D9" w:rsidP="00843BEE">
      <w:pPr>
        <w:spacing w:after="0" w:line="240" w:lineRule="auto"/>
        <w:ind w:firstLine="708"/>
        <w:rPr>
          <w:sz w:val="36"/>
          <w:szCs w:val="36"/>
        </w:rPr>
      </w:pPr>
    </w:p>
    <w:p w:rsidR="002A49DA" w:rsidRPr="00767311" w:rsidRDefault="002A49DA" w:rsidP="002A49DA">
      <w:pPr>
        <w:rPr>
          <w:b/>
          <w:sz w:val="52"/>
          <w:szCs w:val="52"/>
        </w:rPr>
      </w:pPr>
      <w:r w:rsidRPr="00767311">
        <w:rPr>
          <w:b/>
          <w:sz w:val="52"/>
          <w:szCs w:val="52"/>
        </w:rPr>
        <w:t>Hodnocení a klasifikace</w:t>
      </w:r>
    </w:p>
    <w:p w:rsidR="002A49DA" w:rsidRPr="00D12F0F" w:rsidRDefault="002A49DA" w:rsidP="002A49DA">
      <w:pPr>
        <w:rPr>
          <w:sz w:val="32"/>
          <w:szCs w:val="32"/>
        </w:rPr>
      </w:pPr>
      <w:r w:rsidRPr="00D12F0F">
        <w:rPr>
          <w:sz w:val="32"/>
          <w:szCs w:val="32"/>
        </w:rPr>
        <w:t xml:space="preserve">Úkoly budou hodnoceny </w:t>
      </w:r>
      <w:r>
        <w:rPr>
          <w:sz w:val="32"/>
          <w:szCs w:val="32"/>
        </w:rPr>
        <w:t>průběžně.</w:t>
      </w:r>
    </w:p>
    <w:p w:rsidR="002A49DA" w:rsidRDefault="002A49DA" w:rsidP="002A49DA">
      <w:pPr>
        <w:rPr>
          <w:sz w:val="32"/>
          <w:szCs w:val="32"/>
        </w:rPr>
      </w:pPr>
      <w:r w:rsidRPr="00D12F0F">
        <w:rPr>
          <w:sz w:val="32"/>
          <w:szCs w:val="32"/>
        </w:rPr>
        <w:t>P</w:t>
      </w:r>
      <w:r>
        <w:rPr>
          <w:sz w:val="32"/>
          <w:szCs w:val="32"/>
        </w:rPr>
        <w:t>ísemky k probraným tématům budou vždy oznámeny předem.</w:t>
      </w:r>
    </w:p>
    <w:p w:rsidR="002A49DA" w:rsidRPr="00D12F0F" w:rsidRDefault="002A49DA" w:rsidP="002A49DA">
      <w:pPr>
        <w:rPr>
          <w:sz w:val="32"/>
          <w:szCs w:val="32"/>
        </w:rPr>
      </w:pPr>
      <w:r w:rsidRPr="00D12F0F">
        <w:rPr>
          <w:sz w:val="32"/>
          <w:szCs w:val="32"/>
        </w:rPr>
        <w:t>Na konci pololetí p</w:t>
      </w:r>
      <w:r w:rsidRPr="00D12F0F">
        <w:rPr>
          <w:rFonts w:hint="eastAsia"/>
          <w:sz w:val="32"/>
          <w:szCs w:val="32"/>
        </w:rPr>
        <w:t>ř</w:t>
      </w:r>
      <w:r w:rsidRPr="00D12F0F">
        <w:rPr>
          <w:sz w:val="32"/>
          <w:szCs w:val="32"/>
        </w:rPr>
        <w:t>ed uzav</w:t>
      </w:r>
      <w:r w:rsidRPr="00D12F0F">
        <w:rPr>
          <w:rFonts w:hint="eastAsia"/>
          <w:sz w:val="32"/>
          <w:szCs w:val="32"/>
        </w:rPr>
        <w:t>ř</w:t>
      </w:r>
      <w:r w:rsidRPr="00D12F0F">
        <w:rPr>
          <w:sz w:val="32"/>
          <w:szCs w:val="32"/>
        </w:rPr>
        <w:t>ením známek kontrola všech sešit</w:t>
      </w:r>
      <w:r w:rsidRPr="00D12F0F">
        <w:rPr>
          <w:rFonts w:hint="eastAsia"/>
          <w:sz w:val="32"/>
          <w:szCs w:val="32"/>
        </w:rPr>
        <w:t>ů</w:t>
      </w:r>
      <w:r w:rsidRPr="00D12F0F">
        <w:rPr>
          <w:sz w:val="32"/>
          <w:szCs w:val="32"/>
        </w:rPr>
        <w:t>, sešity musí být v</w:t>
      </w:r>
      <w:r>
        <w:rPr>
          <w:sz w:val="32"/>
          <w:szCs w:val="32"/>
        </w:rPr>
        <w:t> </w:t>
      </w:r>
      <w:r w:rsidRPr="00D12F0F">
        <w:rPr>
          <w:sz w:val="32"/>
          <w:szCs w:val="32"/>
        </w:rPr>
        <w:t>absolutním</w:t>
      </w:r>
      <w:r>
        <w:rPr>
          <w:sz w:val="32"/>
          <w:szCs w:val="32"/>
        </w:rPr>
        <w:t xml:space="preserve"> </w:t>
      </w:r>
      <w:r w:rsidRPr="00D12F0F">
        <w:rPr>
          <w:sz w:val="32"/>
          <w:szCs w:val="32"/>
        </w:rPr>
        <w:t>po</w:t>
      </w:r>
      <w:r w:rsidRPr="00D12F0F">
        <w:rPr>
          <w:rFonts w:hint="eastAsia"/>
          <w:sz w:val="32"/>
          <w:szCs w:val="32"/>
        </w:rPr>
        <w:t>ř</w:t>
      </w:r>
      <w:r w:rsidRPr="00D12F0F">
        <w:rPr>
          <w:sz w:val="32"/>
          <w:szCs w:val="32"/>
        </w:rPr>
        <w:t>ádku, se všemi nakreslenými obrázky a se vším dopsaným u</w:t>
      </w:r>
      <w:r w:rsidRPr="00D12F0F">
        <w:rPr>
          <w:rFonts w:hint="eastAsia"/>
          <w:sz w:val="32"/>
          <w:szCs w:val="32"/>
        </w:rPr>
        <w:t>č</w:t>
      </w:r>
      <w:r w:rsidRPr="00D12F0F">
        <w:rPr>
          <w:sz w:val="32"/>
          <w:szCs w:val="32"/>
        </w:rPr>
        <w:t>ivem.</w:t>
      </w:r>
    </w:p>
    <w:p w:rsidR="002A49DA" w:rsidRPr="00D12F0F" w:rsidRDefault="002A49DA" w:rsidP="002A49DA">
      <w:pPr>
        <w:rPr>
          <w:sz w:val="32"/>
          <w:szCs w:val="32"/>
        </w:rPr>
      </w:pPr>
      <w:r w:rsidRPr="00D12F0F">
        <w:rPr>
          <w:sz w:val="32"/>
          <w:szCs w:val="32"/>
        </w:rPr>
        <w:t>Známky budou průběžně zapisované do systému EDUPAGE.</w:t>
      </w:r>
    </w:p>
    <w:p w:rsidR="004A57D9" w:rsidRDefault="004A57D9" w:rsidP="004A57D9">
      <w:pPr>
        <w:rPr>
          <w:rStyle w:val="markedcontent"/>
          <w:rFonts w:ascii="Arial" w:hAnsi="Arial" w:cs="Arial"/>
          <w:b/>
          <w:sz w:val="32"/>
          <w:szCs w:val="32"/>
        </w:rPr>
      </w:pPr>
    </w:p>
    <w:p w:rsidR="004A57D9" w:rsidRPr="004A57D9" w:rsidRDefault="004A57D9" w:rsidP="004A57D9">
      <w:pPr>
        <w:rPr>
          <w:sz w:val="28"/>
          <w:szCs w:val="28"/>
        </w:rPr>
      </w:pPr>
      <w:r w:rsidRPr="00744CEF">
        <w:rPr>
          <w:rStyle w:val="markedcontent"/>
          <w:rFonts w:ascii="Arial" w:hAnsi="Arial" w:cs="Arial"/>
          <w:b/>
          <w:sz w:val="32"/>
          <w:szCs w:val="32"/>
        </w:rPr>
        <w:t>Podmín</w:t>
      </w:r>
      <w:r>
        <w:rPr>
          <w:rStyle w:val="markedcontent"/>
          <w:rFonts w:ascii="Arial" w:hAnsi="Arial" w:cs="Arial"/>
          <w:b/>
          <w:sz w:val="32"/>
          <w:szCs w:val="32"/>
        </w:rPr>
        <w:t xml:space="preserve">ka klasifikace: </w:t>
      </w:r>
      <w:r w:rsidRPr="004A57D9">
        <w:rPr>
          <w:sz w:val="32"/>
          <w:szCs w:val="32"/>
        </w:rPr>
        <w:t>odevzdání všech prací stanovených vyučujícím předmětu na začátku školního roku (</w:t>
      </w:r>
      <w:r w:rsidRPr="004A57D9">
        <w:rPr>
          <w:sz w:val="28"/>
          <w:szCs w:val="28"/>
        </w:rPr>
        <w:t xml:space="preserve">sešit, výkres, výpočet, protokol apod.). </w:t>
      </w:r>
    </w:p>
    <w:p w:rsidR="004A57D9" w:rsidRPr="004A57D9" w:rsidRDefault="004A57D9" w:rsidP="004A57D9">
      <w:pPr>
        <w:rPr>
          <w:sz w:val="28"/>
          <w:szCs w:val="28"/>
        </w:rPr>
      </w:pPr>
    </w:p>
    <w:p w:rsidR="002A49DA" w:rsidRDefault="002A49DA" w:rsidP="002A49DA">
      <w:pPr>
        <w:rPr>
          <w:b/>
          <w:sz w:val="48"/>
          <w:szCs w:val="48"/>
          <w:u w:val="single"/>
        </w:rPr>
      </w:pPr>
    </w:p>
    <w:p w:rsidR="002A49DA" w:rsidRPr="00BA4855" w:rsidRDefault="002A49DA" w:rsidP="002A49DA">
      <w:pPr>
        <w:rPr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Hodnocení a uzavření klasifikace </w:t>
      </w:r>
      <w:r w:rsidRPr="002A49DA">
        <w:rPr>
          <w:sz w:val="32"/>
          <w:szCs w:val="32"/>
        </w:rPr>
        <w:t>leden/</w:t>
      </w:r>
      <w:r w:rsidRPr="00493C97">
        <w:rPr>
          <w:sz w:val="32"/>
          <w:szCs w:val="32"/>
        </w:rPr>
        <w:t>červen 202</w:t>
      </w:r>
      <w:r>
        <w:rPr>
          <w:sz w:val="32"/>
          <w:szCs w:val="32"/>
        </w:rPr>
        <w:t>4</w:t>
      </w:r>
    </w:p>
    <w:p w:rsidR="002A49DA" w:rsidRDefault="002A49DA" w:rsidP="002A49DA">
      <w:pPr>
        <w:rPr>
          <w:b/>
          <w:sz w:val="52"/>
          <w:szCs w:val="52"/>
        </w:rPr>
      </w:pPr>
      <w:r>
        <w:rPr>
          <w:b/>
          <w:sz w:val="52"/>
          <w:szCs w:val="52"/>
        </w:rPr>
        <w:t>Dle Školního řádu – část H.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b/>
          <w:sz w:val="24"/>
          <w:szCs w:val="24"/>
        </w:rPr>
      </w:pPr>
      <w:r w:rsidRPr="004C4580">
        <w:rPr>
          <w:rStyle w:val="markedcontent"/>
          <w:rFonts w:ascii="Arial" w:hAnsi="Arial" w:cs="Arial"/>
          <w:b/>
          <w:sz w:val="24"/>
          <w:szCs w:val="24"/>
        </w:rPr>
        <w:t>H. Pravidla pro hodnocení výsledků vzdělávání žáků</w:t>
      </w: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Výběr nejdůležitějších bodů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Prospěch žáka v jednotlivých vyučovacích předmětech je klasifikován těmito stupni: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1 – výborný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2 – chvalitebný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3 – dobrý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4 – dostatečný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5 – nedostatečný.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Pr="00730420" w:rsidRDefault="002A49DA" w:rsidP="002A49DA">
      <w:pPr>
        <w:rPr>
          <w:rStyle w:val="markedcontent"/>
          <w:rFonts w:ascii="Arial" w:hAnsi="Arial" w:cs="Arial"/>
          <w:sz w:val="28"/>
          <w:szCs w:val="28"/>
        </w:rPr>
      </w:pPr>
      <w:r w:rsidRPr="00730420">
        <w:rPr>
          <w:rStyle w:val="markedcontent"/>
          <w:rFonts w:ascii="Arial" w:hAnsi="Arial" w:cs="Arial"/>
          <w:sz w:val="28"/>
          <w:szCs w:val="28"/>
        </w:rPr>
        <w:t xml:space="preserve">Podmínkou klasifikace v jednotlivých předmětech je odevzdání všech prací stanovených vyučujícím předmětu na začátku školního roku (sešit, výkres, výpočet, protokol apod.), jinak nemůže být žák </w:t>
      </w:r>
      <w:proofErr w:type="gramStart"/>
      <w:r w:rsidRPr="00730420">
        <w:rPr>
          <w:rStyle w:val="markedcontent"/>
          <w:rFonts w:ascii="Arial" w:hAnsi="Arial" w:cs="Arial"/>
          <w:sz w:val="28"/>
          <w:szCs w:val="28"/>
        </w:rPr>
        <w:t>hodnocen !!!!!!!!!!!!!!!!!!!!!!!</w:t>
      </w:r>
      <w:proofErr w:type="gramEnd"/>
    </w:p>
    <w:p w:rsidR="002A49DA" w:rsidRDefault="002A49DA" w:rsidP="002A49DA">
      <w:pPr>
        <w:rPr>
          <w:b/>
          <w:sz w:val="28"/>
          <w:szCs w:val="28"/>
        </w:rPr>
      </w:pP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1.6 Zásady klasifikace a získávání podkladů</w:t>
      </w:r>
    </w:p>
    <w:p w:rsidR="002A49DA" w:rsidRPr="0024754E" w:rsidRDefault="002A49DA" w:rsidP="002A49DA">
      <w:pPr>
        <w:rPr>
          <w:b/>
          <w:sz w:val="24"/>
          <w:szCs w:val="24"/>
          <w:u w:val="single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Při hodnocení žáků, tj. průběžné i celkové klasifikaci za příslušné klasifikační období, pedagogický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pracovník uplatňuje přiměřenou náročnost vůči žákovi. Při celkové klasifikaci přihlíží učitel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k věkovým zvláštnostem žáka i k tomu, že žák mohl v průběhu klasifikačního období zakolísat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v učebních výkonech pro určitou indispozici. Je nutné zajistit patřičnou četnost zkoušení (jak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 xml:space="preserve">písemného, tak i ústního) a transparentnost při hodnocení zkoušeného žáka. </w:t>
      </w:r>
      <w:r w:rsidRPr="0024754E">
        <w:rPr>
          <w:rStyle w:val="markedcontent"/>
          <w:rFonts w:ascii="Arial" w:hAnsi="Arial" w:cs="Arial"/>
          <w:sz w:val="24"/>
          <w:szCs w:val="24"/>
          <w:u w:val="single"/>
        </w:rPr>
        <w:t>V předmětech, kde jsou součástí klasifikace grafické či písemné práce, učitel přihlíží kromě věcné správnosti a estetické stránky prací také k plnění termínů při jejich odevzdávání žákem.</w:t>
      </w:r>
    </w:p>
    <w:p w:rsidR="002A49DA" w:rsidRDefault="002A49DA" w:rsidP="002A49DA">
      <w:pPr>
        <w:rPr>
          <w:rStyle w:val="markedcontent"/>
          <w:rFonts w:ascii="Arial" w:hAnsi="Arial" w:cs="Arial"/>
          <w:b/>
          <w:sz w:val="24"/>
          <w:szCs w:val="24"/>
          <w:highlight w:val="yellow"/>
        </w:rPr>
      </w:pP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730420">
        <w:rPr>
          <w:rStyle w:val="markedcontent"/>
          <w:rFonts w:ascii="Arial" w:hAnsi="Arial" w:cs="Arial"/>
          <w:b/>
          <w:sz w:val="24"/>
          <w:szCs w:val="24"/>
        </w:rPr>
        <w:t>Vyučující dodržují zásady pedagogického taktu, zejména:</w:t>
      </w:r>
      <w:r w:rsidRPr="00730420">
        <w:rPr>
          <w:rStyle w:val="markedcontent"/>
          <w:rFonts w:ascii="Arial" w:hAnsi="Arial" w:cs="Arial"/>
          <w:sz w:val="24"/>
          <w:szCs w:val="24"/>
        </w:rPr>
        <w:br/>
        <w:t>a) nehodnotí žáky v den jejich návratu do školy po nemoci delší než jeden týden</w:t>
      </w:r>
      <w:r w:rsidRPr="0024754E">
        <w:rPr>
          <w:rStyle w:val="markedcontent"/>
          <w:rFonts w:ascii="Arial" w:hAnsi="Arial" w:cs="Arial"/>
          <w:sz w:val="24"/>
          <w:szCs w:val="24"/>
        </w:rPr>
        <w:t>,</w:t>
      </w:r>
      <w:r w:rsidRPr="0024754E">
        <w:rPr>
          <w:rStyle w:val="markedcontent"/>
          <w:rFonts w:ascii="Arial" w:hAnsi="Arial" w:cs="Arial"/>
          <w:sz w:val="24"/>
          <w:szCs w:val="24"/>
        </w:rPr>
        <w:br/>
      </w:r>
      <w:r w:rsidRPr="003037C4">
        <w:rPr>
          <w:rStyle w:val="markedcontent"/>
          <w:rFonts w:ascii="Arial" w:hAnsi="Arial" w:cs="Arial"/>
          <w:sz w:val="24"/>
          <w:szCs w:val="24"/>
        </w:rPr>
        <w:t xml:space="preserve">b) </w:t>
      </w:r>
      <w:r w:rsidRPr="00AC30D7">
        <w:rPr>
          <w:rStyle w:val="markedcontent"/>
          <w:rFonts w:ascii="Arial" w:hAnsi="Arial" w:cs="Arial"/>
          <w:sz w:val="24"/>
          <w:szCs w:val="24"/>
        </w:rPr>
        <w:t>účelem zkoušení není nacházet nedostatky nebo mezery ve vědomostech žáka, ale hodnotit to, co umí,</w:t>
      </w:r>
      <w:bookmarkStart w:id="0" w:name="_GoBack"/>
      <w:bookmarkEnd w:id="0"/>
      <w:r w:rsidRPr="003037C4">
        <w:rPr>
          <w:rStyle w:val="markedcontent"/>
          <w:rFonts w:ascii="Arial" w:hAnsi="Arial" w:cs="Arial"/>
          <w:sz w:val="24"/>
          <w:szCs w:val="24"/>
        </w:rPr>
        <w:br/>
      </w:r>
      <w:r w:rsidRPr="007864DD">
        <w:rPr>
          <w:rStyle w:val="markedcontent"/>
          <w:rFonts w:ascii="Arial" w:hAnsi="Arial" w:cs="Arial"/>
          <w:sz w:val="24"/>
          <w:szCs w:val="24"/>
        </w:rPr>
        <w:t>c) v případě zadávání nové látky k samostatnému nastudování je nutné předem sdělit, jakým způsobem má být nastudována, jakou formou a v jakém rozsahu bude ověřována; přitom tento přístup může být použit pouze jako doplňková forma výuky.</w:t>
      </w:r>
    </w:p>
    <w:p w:rsidR="00730420" w:rsidRDefault="00730420" w:rsidP="002A49DA">
      <w:pPr>
        <w:rPr>
          <w:b/>
          <w:sz w:val="28"/>
          <w:szCs w:val="28"/>
        </w:rPr>
      </w:pPr>
    </w:p>
    <w:p w:rsidR="00730420" w:rsidRDefault="00730420" w:rsidP="002A49DA">
      <w:pPr>
        <w:rPr>
          <w:b/>
          <w:sz w:val="28"/>
          <w:szCs w:val="28"/>
        </w:rPr>
      </w:pPr>
    </w:p>
    <w:p w:rsidR="00730420" w:rsidRDefault="00730420" w:rsidP="002A49DA">
      <w:pPr>
        <w:rPr>
          <w:b/>
          <w:sz w:val="28"/>
          <w:szCs w:val="28"/>
        </w:rPr>
      </w:pP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lastRenderedPageBreak/>
        <w:t>1.7 Vlastní klasifikace</w:t>
      </w: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d) Při určování klasifikačního stupně posuzuje učitel výsledky práce objektivně.</w:t>
      </w: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g) Při klasifikaci na konci klasifikačního období se u žáka hodnotí kvalita práce a učební výsledky,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jichž žák dosáhl za celé klasifikační období. Stupeň prospěchu se neurčuje automaticky jen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na základě průměru z klasifikace za příslušné období, ale po celkovém posouzení práce žáka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vyučujícím.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1.9.2 Pochybnosti o správnosti hodnocení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Má-li žák nebo zákonný zástupce zletilého žáka pochybnosti o správnosti klasifikace v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24754E">
        <w:rPr>
          <w:rStyle w:val="markedcontent"/>
          <w:rFonts w:ascii="Arial" w:hAnsi="Arial" w:cs="Arial"/>
          <w:sz w:val="24"/>
          <w:szCs w:val="24"/>
        </w:rPr>
        <w:t>jednotlivých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předmětech na konci prvního nebo druhého pololetí, může do tří pracovních dnů ode dne, kdy byl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s touto skutečností seznámen, nejpozději však do 3 pracovních dnů od vydání vysvědčení, požádat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ředitelku školy o přezkoumání výsledků hodnocení.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1.10 Doplňková klasifikační zkouška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Doplňková klasifikační zkouška je vnitřní opatření školy vztahující se ke klasifikaci žáka</w:t>
      </w:r>
      <w:r w:rsidRPr="0024754E">
        <w:rPr>
          <w:rStyle w:val="markedcontent"/>
          <w:rFonts w:ascii="Arial" w:hAnsi="Arial" w:cs="Arial"/>
          <w:sz w:val="24"/>
          <w:szCs w:val="24"/>
        </w:rPr>
        <w:br/>
        <w:t>v jednotlivých povinných předmětech. Jestliže v příslušném pololetí opakovaná krátkodobá nebo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dlouhodobá absence žáka v příslušném předmětu přesáhne 25 % z celkového počtu odučených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hodin, může vyučující rozhodnout, že žák vykoná doplňkovou klasifikační zkoušku. Tato zkouška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je samostatná a její výsledek je hodnocením žáka za celé pololetí.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BB773F" w:rsidRDefault="00BB773F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sectPr w:rsidR="002A49DA" w:rsidSect="002A49D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EE"/>
    <w:rsid w:val="002A49DA"/>
    <w:rsid w:val="004A57D9"/>
    <w:rsid w:val="00730420"/>
    <w:rsid w:val="00843BEE"/>
    <w:rsid w:val="00B42264"/>
    <w:rsid w:val="00BB773F"/>
    <w:rsid w:val="00E11D5D"/>
    <w:rsid w:val="00E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AD33"/>
  <w15:chartTrackingRefBased/>
  <w15:docId w15:val="{EFD7822A-404C-4D11-987F-D791ABC1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A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2023-06-15T12:29:00Z</dcterms:created>
  <dcterms:modified xsi:type="dcterms:W3CDTF">2023-06-15T13:17:00Z</dcterms:modified>
</cp:coreProperties>
</file>