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65" w:rsidRPr="00114465" w:rsidRDefault="00C12432" w:rsidP="00C1243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465">
        <w:rPr>
          <w:rFonts w:ascii="Times New Roman" w:hAnsi="Times New Roman" w:cs="Times New Roman"/>
          <w:b/>
          <w:sz w:val="28"/>
          <w:szCs w:val="28"/>
          <w:u w:val="single"/>
        </w:rPr>
        <w:t>1. Úvod:</w:t>
      </w:r>
    </w:p>
    <w:p w:rsidR="007225F5" w:rsidRDefault="00C12432" w:rsidP="006467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Projektová dok</w:t>
      </w:r>
      <w:r w:rsidR="00A35D12">
        <w:rPr>
          <w:rFonts w:ascii="Times New Roman" w:hAnsi="Times New Roman" w:cs="Times New Roman"/>
          <w:sz w:val="24"/>
          <w:szCs w:val="24"/>
        </w:rPr>
        <w:t>umentace řeší</w:t>
      </w:r>
      <w:r w:rsidR="00624228">
        <w:rPr>
          <w:rFonts w:ascii="Times New Roman" w:hAnsi="Times New Roman" w:cs="Times New Roman"/>
          <w:sz w:val="24"/>
          <w:szCs w:val="24"/>
        </w:rPr>
        <w:t xml:space="preserve"> realizaci</w:t>
      </w:r>
      <w:r w:rsidR="007225F5">
        <w:rPr>
          <w:rFonts w:ascii="Times New Roman" w:hAnsi="Times New Roman" w:cs="Times New Roman"/>
          <w:sz w:val="24"/>
          <w:szCs w:val="24"/>
        </w:rPr>
        <w:t xml:space="preserve"> vnitřního vodovodu novostav</w:t>
      </w:r>
      <w:r w:rsidR="00114465">
        <w:rPr>
          <w:rFonts w:ascii="Times New Roman" w:hAnsi="Times New Roman" w:cs="Times New Roman"/>
          <w:sz w:val="24"/>
          <w:szCs w:val="24"/>
        </w:rPr>
        <w:t>b</w:t>
      </w:r>
      <w:r w:rsidR="007225F5">
        <w:rPr>
          <w:rFonts w:ascii="Times New Roman" w:hAnsi="Times New Roman" w:cs="Times New Roman"/>
          <w:sz w:val="24"/>
          <w:szCs w:val="24"/>
        </w:rPr>
        <w:t>y bytového d</w:t>
      </w:r>
      <w:r w:rsidR="00114465">
        <w:rPr>
          <w:rFonts w:ascii="Times New Roman" w:hAnsi="Times New Roman" w:cs="Times New Roman"/>
          <w:sz w:val="24"/>
          <w:szCs w:val="24"/>
        </w:rPr>
        <w:t>omu v katastrálním území Valašského Meziříčí.</w:t>
      </w:r>
      <w:r w:rsidR="009234C9">
        <w:rPr>
          <w:rFonts w:ascii="Times New Roman" w:hAnsi="Times New Roman" w:cs="Times New Roman"/>
          <w:sz w:val="24"/>
          <w:szCs w:val="24"/>
        </w:rPr>
        <w:t xml:space="preserve"> Návrh je </w:t>
      </w:r>
      <w:r w:rsidR="00A35D12">
        <w:rPr>
          <w:rFonts w:ascii="Times New Roman" w:hAnsi="Times New Roman" w:cs="Times New Roman"/>
          <w:sz w:val="24"/>
          <w:szCs w:val="24"/>
        </w:rPr>
        <w:t>zpracován na základě platných norem a předpisů</w:t>
      </w:r>
      <w:r w:rsidR="009234C9">
        <w:rPr>
          <w:rFonts w:ascii="Times New Roman" w:hAnsi="Times New Roman" w:cs="Times New Roman"/>
          <w:sz w:val="24"/>
          <w:szCs w:val="24"/>
        </w:rPr>
        <w:t xml:space="preserve"> a</w:t>
      </w:r>
      <w:r w:rsidR="00A35D12">
        <w:rPr>
          <w:rFonts w:ascii="Times New Roman" w:hAnsi="Times New Roman" w:cs="Times New Roman"/>
          <w:sz w:val="24"/>
          <w:szCs w:val="24"/>
        </w:rPr>
        <w:t xml:space="preserve"> zároveň</w:t>
      </w:r>
      <w:r w:rsidR="009234C9">
        <w:rPr>
          <w:rFonts w:ascii="Times New Roman" w:hAnsi="Times New Roman" w:cs="Times New Roman"/>
          <w:sz w:val="24"/>
          <w:szCs w:val="24"/>
        </w:rPr>
        <w:t xml:space="preserve"> zkoordinován se stavebním projektem.</w:t>
      </w:r>
      <w:r w:rsidR="00CC4F0F">
        <w:rPr>
          <w:rFonts w:ascii="Times New Roman" w:hAnsi="Times New Roman" w:cs="Times New Roman"/>
          <w:sz w:val="24"/>
          <w:szCs w:val="24"/>
        </w:rPr>
        <w:t xml:space="preserve"> </w:t>
      </w:r>
      <w:r w:rsidR="006B1CB7">
        <w:rPr>
          <w:rFonts w:ascii="Times New Roman" w:hAnsi="Times New Roman" w:cs="Times New Roman"/>
          <w:sz w:val="24"/>
          <w:szCs w:val="24"/>
        </w:rPr>
        <w:t>Projekt je zhotoven na předchozí podrobné k</w:t>
      </w:r>
      <w:r w:rsidR="005B513B">
        <w:rPr>
          <w:rFonts w:ascii="Times New Roman" w:hAnsi="Times New Roman" w:cs="Times New Roman"/>
          <w:sz w:val="24"/>
          <w:szCs w:val="24"/>
        </w:rPr>
        <w:t>onzultaci s</w:t>
      </w:r>
      <w:r w:rsidR="00114465">
        <w:rPr>
          <w:rFonts w:ascii="Times New Roman" w:hAnsi="Times New Roman" w:cs="Times New Roman"/>
          <w:sz w:val="24"/>
          <w:szCs w:val="24"/>
        </w:rPr>
        <w:t> </w:t>
      </w:r>
      <w:r w:rsidR="005B513B">
        <w:rPr>
          <w:rFonts w:ascii="Times New Roman" w:hAnsi="Times New Roman" w:cs="Times New Roman"/>
          <w:sz w:val="24"/>
          <w:szCs w:val="24"/>
        </w:rPr>
        <w:t>investorem</w:t>
      </w:r>
      <w:r w:rsidR="00114465">
        <w:rPr>
          <w:rFonts w:ascii="Times New Roman" w:hAnsi="Times New Roman" w:cs="Times New Roman"/>
          <w:sz w:val="24"/>
          <w:szCs w:val="24"/>
        </w:rPr>
        <w:t xml:space="preserve"> (zástupci města Valašské Meziříč</w:t>
      </w:r>
      <w:r w:rsidR="007225F5">
        <w:rPr>
          <w:rFonts w:ascii="Times New Roman" w:hAnsi="Times New Roman" w:cs="Times New Roman"/>
          <w:sz w:val="24"/>
          <w:szCs w:val="24"/>
        </w:rPr>
        <w:t>í) a dle dostupných provozních podmínek venkovního vodovodního řádu zjištěných u správce a provozovatele vodovodu (</w:t>
      </w:r>
      <w:proofErr w:type="spellStart"/>
      <w:r w:rsidR="007225F5">
        <w:rPr>
          <w:rFonts w:ascii="Times New Roman" w:hAnsi="Times New Roman" w:cs="Times New Roman"/>
          <w:sz w:val="24"/>
          <w:szCs w:val="24"/>
        </w:rPr>
        <w:t>VaK</w:t>
      </w:r>
      <w:proofErr w:type="spellEnd"/>
      <w:r w:rsidR="007225F5">
        <w:rPr>
          <w:rFonts w:ascii="Times New Roman" w:hAnsi="Times New Roman" w:cs="Times New Roman"/>
          <w:sz w:val="24"/>
          <w:szCs w:val="24"/>
        </w:rPr>
        <w:t xml:space="preserve"> Vsetín).</w:t>
      </w:r>
    </w:p>
    <w:p w:rsidR="007225F5" w:rsidRDefault="007225F5" w:rsidP="00646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5F5" w:rsidRDefault="007225F5" w:rsidP="0064677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5F5">
        <w:rPr>
          <w:rFonts w:ascii="Times New Roman" w:hAnsi="Times New Roman" w:cs="Times New Roman"/>
          <w:b/>
          <w:sz w:val="28"/>
          <w:szCs w:val="28"/>
          <w:u w:val="single"/>
        </w:rPr>
        <w:t>2. Hydrotechnický výpočet:</w:t>
      </w:r>
    </w:p>
    <w:p w:rsidR="001D59F8" w:rsidRDefault="007225F5" w:rsidP="001D59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Hydrotechnický výpočet určuje předběžnou spotřebu vody podle</w:t>
      </w:r>
      <w:r w:rsidR="001D59F8">
        <w:rPr>
          <w:rFonts w:ascii="Times New Roman" w:hAnsi="Times New Roman" w:cs="Times New Roman"/>
          <w:sz w:val="24"/>
          <w:szCs w:val="24"/>
        </w:rPr>
        <w:t xml:space="preserve"> směrného čísla uvedeného ve vyhlášce</w:t>
      </w:r>
      <w:r>
        <w:rPr>
          <w:rFonts w:ascii="Times New Roman" w:hAnsi="Times New Roman" w:cs="Times New Roman"/>
          <w:sz w:val="24"/>
          <w:szCs w:val="24"/>
        </w:rPr>
        <w:t xml:space="preserve"> č. 120/2011 Sb.</w:t>
      </w:r>
      <w:r w:rsidR="001D59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5F5" w:rsidRDefault="007225F5" w:rsidP="007225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Bytový dům je navrhnut pro trvalé obývání šestnácti osobami.</w:t>
      </w:r>
    </w:p>
    <w:p w:rsidR="007A143F" w:rsidRDefault="007225F5" w:rsidP="007225F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osoby……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96 l/osoba/den   =˃   </w:t>
      </w:r>
    </w:p>
    <w:p w:rsidR="007225F5" w:rsidRDefault="007225F5" w:rsidP="007225F5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245195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</w:t>
      </w:r>
      <w:r w:rsidR="007A14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536</w:t>
      </w:r>
      <w:r w:rsidR="007A143F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/den   =˃   1,536 m</w:t>
      </w:r>
      <w:r w:rsidRPr="0062158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/den</w:t>
      </w:r>
    </w:p>
    <w:p w:rsidR="007225F5" w:rsidRPr="00621585" w:rsidRDefault="007225F5" w:rsidP="007A143F">
      <w:pPr>
        <w:tabs>
          <w:tab w:val="left" w:pos="5565"/>
        </w:tabs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21585">
        <w:rPr>
          <w:rFonts w:ascii="Times New Roman" w:hAnsi="Times New Roman" w:cs="Times New Roman"/>
          <w:sz w:val="24"/>
          <w:szCs w:val="24"/>
          <w:u w:val="single"/>
        </w:rPr>
        <w:t>Q</w:t>
      </w:r>
      <w:r w:rsidRPr="00621585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r</w:t>
      </w:r>
      <w:proofErr w:type="spellEnd"/>
      <w:r w:rsidRPr="00621585">
        <w:rPr>
          <w:rFonts w:ascii="Times New Roman" w:hAnsi="Times New Roman" w:cs="Times New Roman"/>
          <w:sz w:val="24"/>
          <w:szCs w:val="24"/>
          <w:u w:val="single"/>
        </w:rPr>
        <w:t xml:space="preserve"> = </w:t>
      </w:r>
      <w:proofErr w:type="spellStart"/>
      <w:r w:rsidRPr="00621585">
        <w:rPr>
          <w:rFonts w:ascii="Times New Roman" w:hAnsi="Times New Roman" w:cs="Times New Roman"/>
          <w:sz w:val="24"/>
          <w:szCs w:val="24"/>
          <w:u w:val="single"/>
        </w:rPr>
        <w:t>Q</w:t>
      </w:r>
      <w:r w:rsidRPr="00621585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>d</w:t>
      </w:r>
      <w:proofErr w:type="spellEnd"/>
      <w:r w:rsidRPr="00621585">
        <w:rPr>
          <w:rFonts w:ascii="Times New Roman" w:hAnsi="Times New Roman" w:cs="Times New Roman"/>
          <w:sz w:val="24"/>
          <w:szCs w:val="24"/>
          <w:u w:val="single"/>
          <w:vertAlign w:val="subscript"/>
        </w:rPr>
        <w:t xml:space="preserve"> </w:t>
      </w:r>
      <w:r w:rsidR="007A143F">
        <w:rPr>
          <w:rFonts w:ascii="Times New Roman" w:hAnsi="Times New Roman" w:cs="Times New Roman"/>
          <w:sz w:val="24"/>
          <w:szCs w:val="24"/>
          <w:u w:val="single"/>
        </w:rPr>
        <w:t xml:space="preserve">. 365 = </w:t>
      </w:r>
      <w:proofErr w:type="gramStart"/>
      <w:r w:rsidR="007A143F">
        <w:rPr>
          <w:rFonts w:ascii="Times New Roman" w:hAnsi="Times New Roman" w:cs="Times New Roman"/>
          <w:sz w:val="24"/>
          <w:szCs w:val="24"/>
          <w:u w:val="single"/>
        </w:rPr>
        <w:t>1,536 . 365</w:t>
      </w:r>
      <w:proofErr w:type="gramEnd"/>
      <w:r w:rsidR="007A143F">
        <w:rPr>
          <w:rFonts w:ascii="Times New Roman" w:hAnsi="Times New Roman" w:cs="Times New Roman"/>
          <w:sz w:val="24"/>
          <w:szCs w:val="24"/>
          <w:u w:val="single"/>
        </w:rPr>
        <w:t xml:space="preserve"> = </w:t>
      </w:r>
      <w:r w:rsidR="007A143F" w:rsidRPr="007A143F">
        <w:rPr>
          <w:rFonts w:ascii="Times New Roman" w:hAnsi="Times New Roman" w:cs="Times New Roman"/>
          <w:b/>
          <w:sz w:val="24"/>
          <w:szCs w:val="24"/>
          <w:u w:val="single"/>
        </w:rPr>
        <w:t>561</w:t>
      </w:r>
      <w:r w:rsidRPr="007A143F">
        <w:rPr>
          <w:rFonts w:ascii="Times New Roman" w:hAnsi="Times New Roman" w:cs="Times New Roman"/>
          <w:b/>
          <w:sz w:val="24"/>
          <w:szCs w:val="24"/>
          <w:u w:val="single"/>
        </w:rPr>
        <w:t xml:space="preserve"> m</w:t>
      </w:r>
      <w:r w:rsidRPr="007A143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</w:t>
      </w:r>
      <w:r w:rsidR="007A143F" w:rsidRPr="007A143F">
        <w:rPr>
          <w:rFonts w:ascii="Times New Roman" w:hAnsi="Times New Roman" w:cs="Times New Roman"/>
          <w:b/>
          <w:sz w:val="24"/>
          <w:szCs w:val="24"/>
          <w:u w:val="single"/>
        </w:rPr>
        <w:t>/rok</w:t>
      </w:r>
    </w:p>
    <w:p w:rsidR="007225F5" w:rsidRDefault="007225F5" w:rsidP="007225F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 w:rsidRPr="00245195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Celková denní spotřeba vody</w:t>
      </w:r>
    </w:p>
    <w:p w:rsidR="007225F5" w:rsidRDefault="007225F5" w:rsidP="007225F5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  <w:vertAlign w:val="subscript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Celková roční spotřeba vody</w:t>
      </w:r>
    </w:p>
    <w:p w:rsidR="007A143F" w:rsidRPr="007A143F" w:rsidRDefault="007A143F" w:rsidP="007A143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A143F">
        <w:rPr>
          <w:rFonts w:ascii="Times New Roman" w:hAnsi="Times New Roman" w:cs="Times New Roman"/>
          <w:sz w:val="24"/>
          <w:szCs w:val="24"/>
          <w:u w:val="single"/>
        </w:rPr>
        <w:t>Maximální průtok:</w:t>
      </w:r>
    </w:p>
    <w:p w:rsidR="007A143F" w:rsidRPr="007A143F" w:rsidRDefault="007A143F" w:rsidP="007225F5">
      <w:p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A143F">
        <w:rPr>
          <w:rFonts w:ascii="Times New Roman" w:hAnsi="Times New Roman" w:cs="Times New Roman"/>
          <w:sz w:val="24"/>
          <w:szCs w:val="24"/>
        </w:rPr>
        <w:t>Q</w:t>
      </w:r>
      <w:r w:rsidRPr="007A143F">
        <w:rPr>
          <w:rFonts w:ascii="Times New Roman" w:hAnsi="Times New Roman" w:cs="Times New Roman"/>
          <w:sz w:val="24"/>
          <w:szCs w:val="24"/>
          <w:vertAlign w:val="subscript"/>
        </w:rPr>
        <w:t>m</w:t>
      </w:r>
      <w:proofErr w:type="spellEnd"/>
      <w:r w:rsidRPr="007A14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143F">
        <w:rPr>
          <w:rFonts w:ascii="Times New Roman" w:hAnsi="Times New Roman" w:cs="Times New Roman"/>
          <w:sz w:val="24"/>
          <w:szCs w:val="24"/>
        </w:rPr>
        <w:t xml:space="preserve">= k . </w:t>
      </w:r>
      <w:proofErr w:type="spellStart"/>
      <w:r w:rsidRPr="007A143F">
        <w:rPr>
          <w:rFonts w:ascii="Times New Roman" w:hAnsi="Times New Roman" w:cs="Times New Roman"/>
          <w:sz w:val="24"/>
          <w:szCs w:val="24"/>
        </w:rPr>
        <w:t>Q</w:t>
      </w:r>
      <w:r w:rsidRPr="007A143F">
        <w:rPr>
          <w:rFonts w:ascii="Times New Roman" w:hAnsi="Times New Roman" w:cs="Times New Roman"/>
          <w:sz w:val="24"/>
          <w:szCs w:val="24"/>
          <w:vertAlign w:val="subscript"/>
        </w:rPr>
        <w:t>d</w:t>
      </w:r>
      <w:proofErr w:type="spellEnd"/>
      <w:proofErr w:type="gramEnd"/>
      <w:r w:rsidRPr="007A143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A143F">
        <w:rPr>
          <w:rFonts w:ascii="Times New Roman" w:hAnsi="Times New Roman" w:cs="Times New Roman"/>
          <w:sz w:val="24"/>
          <w:szCs w:val="24"/>
        </w:rPr>
        <w:t xml:space="preserve">= 1,5 . 1 536 = 2 304 l/den &gt; 96 l/hod = </w:t>
      </w:r>
      <w:r w:rsidRPr="007A143F">
        <w:rPr>
          <w:rFonts w:ascii="Times New Roman" w:hAnsi="Times New Roman" w:cs="Times New Roman"/>
          <w:b/>
          <w:sz w:val="24"/>
          <w:szCs w:val="24"/>
          <w:u w:val="single"/>
        </w:rPr>
        <w:t>0,027 l .s</w:t>
      </w:r>
      <w:r w:rsidRPr="007A143F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-1</w:t>
      </w:r>
    </w:p>
    <w:p w:rsidR="007225F5" w:rsidRPr="007225F5" w:rsidRDefault="007225F5" w:rsidP="006467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143F" w:rsidRDefault="007A143F" w:rsidP="007A143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 Technické řešení</w:t>
      </w:r>
      <w:r w:rsidRPr="00114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B298A" w:rsidRPr="00AB298A" w:rsidRDefault="00AB298A" w:rsidP="007A14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98A">
        <w:rPr>
          <w:rFonts w:ascii="Times New Roman" w:hAnsi="Times New Roman" w:cs="Times New Roman"/>
          <w:b/>
          <w:sz w:val="24"/>
          <w:szCs w:val="24"/>
          <w:u w:val="single"/>
        </w:rPr>
        <w:t>3.1 Vodoměrná sestava</w:t>
      </w:r>
    </w:p>
    <w:p w:rsidR="0062071A" w:rsidRDefault="000A3FC9" w:rsidP="000A3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vodovod začíná domovním vodoměrem a končí výtokovými armaturami v jednotlivých bytech.</w:t>
      </w:r>
      <w:r w:rsidR="000E2651">
        <w:rPr>
          <w:rFonts w:ascii="Times New Roman" w:hAnsi="Times New Roman" w:cs="Times New Roman"/>
          <w:sz w:val="24"/>
          <w:szCs w:val="24"/>
        </w:rPr>
        <w:t xml:space="preserve"> Vodoměrná sestava je umístěna v suterénu bytového domu v technické místnosti min. 0,2 m nad podlahou. Před vodoměrem je umístěn hlavní uzávěr vody (kulový kohout), kterým končí vodovodní přípojka. Za vodoměrem je umístěn vypouštěcí kulový kohout sloužící pro kontrolu správné funkce a těsnosti ochranné jednotky (zpětný ventil, popřípadě </w:t>
      </w:r>
      <w:proofErr w:type="spellStart"/>
      <w:r w:rsidR="000E2651">
        <w:rPr>
          <w:rFonts w:ascii="Times New Roman" w:hAnsi="Times New Roman" w:cs="Times New Roman"/>
          <w:sz w:val="24"/>
          <w:szCs w:val="24"/>
        </w:rPr>
        <w:t>Fillset</w:t>
      </w:r>
      <w:proofErr w:type="spellEnd"/>
      <w:r w:rsidR="000E2651">
        <w:rPr>
          <w:rFonts w:ascii="Times New Roman" w:hAnsi="Times New Roman" w:cs="Times New Roman"/>
          <w:sz w:val="24"/>
          <w:szCs w:val="24"/>
        </w:rPr>
        <w:t>).</w:t>
      </w:r>
      <w:r w:rsidR="00570E80">
        <w:rPr>
          <w:rFonts w:ascii="Times New Roman" w:hAnsi="Times New Roman" w:cs="Times New Roman"/>
          <w:sz w:val="24"/>
          <w:szCs w:val="24"/>
        </w:rPr>
        <w:t xml:space="preserve"> V blízkosti vodoměrné sestavy (za ochrannou jednotkou) musí být zhotoveno odbočení zakončené uzavíracím kulovým kohoutem, sloužící pro vypouštění vodovodního potrubí a k jeho dezinfekci po dokončení instalace. Potrubí studené vody se pak za vodoměrnou sestavou větví na rozvod studené vody a na</w:t>
      </w:r>
      <w:r w:rsidR="0043086B">
        <w:rPr>
          <w:rFonts w:ascii="Times New Roman" w:hAnsi="Times New Roman" w:cs="Times New Roman"/>
          <w:sz w:val="24"/>
          <w:szCs w:val="24"/>
        </w:rPr>
        <w:t xml:space="preserve"> přívodní potrubí pro ohřívač</w:t>
      </w:r>
      <w:r w:rsidR="00570E80">
        <w:rPr>
          <w:rFonts w:ascii="Times New Roman" w:hAnsi="Times New Roman" w:cs="Times New Roman"/>
          <w:sz w:val="24"/>
          <w:szCs w:val="24"/>
        </w:rPr>
        <w:t xml:space="preserve"> vody. </w:t>
      </w:r>
    </w:p>
    <w:p w:rsidR="00AB298A" w:rsidRDefault="00AB298A" w:rsidP="000A3F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98A" w:rsidRDefault="00AB298A" w:rsidP="000A3F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298A" w:rsidRPr="00AB298A" w:rsidRDefault="00AB298A" w:rsidP="00AB29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98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B29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Ohřev teplé vody</w:t>
      </w:r>
    </w:p>
    <w:p w:rsidR="0062071A" w:rsidRDefault="00570E80" w:rsidP="00AB298A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Ohřev teplé vody pro bytový dům je řešen centrálně </w:t>
      </w:r>
      <w:r w:rsidR="00686751">
        <w:rPr>
          <w:rFonts w:ascii="Times New Roman" w:hAnsi="Times New Roman" w:cs="Times New Roman"/>
          <w:sz w:val="24"/>
          <w:szCs w:val="24"/>
        </w:rPr>
        <w:t>v nepřímotopném ohřívači teplé vody</w:t>
      </w:r>
      <w:r w:rsidR="001D59F8">
        <w:rPr>
          <w:rFonts w:ascii="Times New Roman" w:hAnsi="Times New Roman" w:cs="Times New Roman"/>
          <w:sz w:val="24"/>
          <w:szCs w:val="24"/>
        </w:rPr>
        <w:t>, který je rovněž jako vodoměrná sestava umístěn v suterénu v technické místnosti.</w:t>
      </w:r>
      <w:r w:rsidR="00686751">
        <w:rPr>
          <w:rFonts w:ascii="Times New Roman" w:hAnsi="Times New Roman" w:cs="Times New Roman"/>
          <w:sz w:val="24"/>
          <w:szCs w:val="24"/>
        </w:rPr>
        <w:t xml:space="preserve"> </w:t>
      </w:r>
      <w:r w:rsidR="003E0AA3">
        <w:rPr>
          <w:rFonts w:ascii="Times New Roman" w:hAnsi="Times New Roman" w:cs="Times New Roman"/>
          <w:sz w:val="24"/>
          <w:szCs w:val="24"/>
        </w:rPr>
        <w:t>Na připojovacím potrubí ohřívače musí být osazen uzavírací kulový kohout s vypouštěním (pro kontrolu ochranné jednotky), ochranná jednotka (zpětný ventil), pojistný ventil s otevíracím přetlakem 8 bar a manometr 0 – 10 bar. Pře ohřívačem musí být ještě umístěna expanzní nádoba s atestem na pitnou vodu, která bude při provozu kompenzovat teplotní objemovou roztažnost ohřívané vody.</w:t>
      </w:r>
      <w:r w:rsidR="00C51984">
        <w:rPr>
          <w:rFonts w:ascii="Times New Roman" w:hAnsi="Times New Roman" w:cs="Times New Roman"/>
          <w:sz w:val="24"/>
          <w:szCs w:val="24"/>
        </w:rPr>
        <w:t xml:space="preserve"> Expanzní nádoba musí být připojena pomocí speciální armatury (</w:t>
      </w:r>
      <w:proofErr w:type="spellStart"/>
      <w:r w:rsidR="00C51984">
        <w:rPr>
          <w:rFonts w:ascii="Times New Roman" w:hAnsi="Times New Roman" w:cs="Times New Roman"/>
          <w:sz w:val="24"/>
          <w:szCs w:val="24"/>
        </w:rPr>
        <w:t>flowjet</w:t>
      </w:r>
      <w:proofErr w:type="spellEnd"/>
      <w:r w:rsidR="00C51984">
        <w:rPr>
          <w:rFonts w:ascii="Times New Roman" w:hAnsi="Times New Roman" w:cs="Times New Roman"/>
          <w:sz w:val="24"/>
          <w:szCs w:val="24"/>
        </w:rPr>
        <w:t xml:space="preserve">), která zabezpečí zatékání vody do expanzní nádoby a nevznikání </w:t>
      </w:r>
      <w:r w:rsidR="009A5259">
        <w:rPr>
          <w:rFonts w:ascii="Times New Roman" w:hAnsi="Times New Roman" w:cs="Times New Roman"/>
          <w:sz w:val="24"/>
          <w:szCs w:val="24"/>
        </w:rPr>
        <w:t>tzv. mrtvé vody.</w:t>
      </w:r>
      <w:r w:rsidR="0062071A">
        <w:rPr>
          <w:rFonts w:ascii="Times New Roman" w:hAnsi="Times New Roman" w:cs="Times New Roman"/>
          <w:sz w:val="24"/>
          <w:szCs w:val="24"/>
        </w:rPr>
        <w:t xml:space="preserve"> Na potrubí teplé vody, vystupující z ohřívače, je osazen pouze uzavírací kulový kohout. </w:t>
      </w:r>
      <w:r w:rsidR="001D59F8">
        <w:rPr>
          <w:rFonts w:ascii="Times New Roman" w:hAnsi="Times New Roman" w:cs="Times New Roman"/>
          <w:sz w:val="24"/>
          <w:szCs w:val="24"/>
        </w:rPr>
        <w:t>Z důvodu velké vzdálenosti posledního odběrného místa od ohřívače teplé vody je v objektu navržena i cirkulace teplé vody. Cirkulační potrubí začíná napojením na potrubí teplé vody před vodoměrem nejvzdálenějšího bytu a končí v ohřívači. Před ohřívačem je na potrubí cirkulace osazen uzavírací kulový kohout, filtr, cirkulační čerpadlo, zpětný ventil a vyvažovací ventil sloužící pro měření průtoku cirk</w:t>
      </w:r>
      <w:r w:rsidR="0062071A">
        <w:rPr>
          <w:rFonts w:ascii="Times New Roman" w:hAnsi="Times New Roman" w:cs="Times New Roman"/>
          <w:sz w:val="24"/>
          <w:szCs w:val="24"/>
        </w:rPr>
        <w:t xml:space="preserve">ulace a k jejímu </w:t>
      </w:r>
      <w:proofErr w:type="spellStart"/>
      <w:r w:rsidR="0062071A">
        <w:rPr>
          <w:rFonts w:ascii="Times New Roman" w:hAnsi="Times New Roman" w:cs="Times New Roman"/>
          <w:sz w:val="24"/>
          <w:szCs w:val="24"/>
        </w:rPr>
        <w:t>zaregulování</w:t>
      </w:r>
      <w:proofErr w:type="spellEnd"/>
      <w:r w:rsidR="0062071A">
        <w:rPr>
          <w:rFonts w:ascii="Times New Roman" w:hAnsi="Times New Roman" w:cs="Times New Roman"/>
          <w:sz w:val="24"/>
          <w:szCs w:val="24"/>
        </w:rPr>
        <w:t>.</w:t>
      </w:r>
    </w:p>
    <w:p w:rsidR="00AB298A" w:rsidRPr="00AB298A" w:rsidRDefault="00AB298A" w:rsidP="00AB298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98A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B298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Rozvody potrubí</w:t>
      </w:r>
    </w:p>
    <w:p w:rsidR="000A3FC9" w:rsidRPr="000A3FC9" w:rsidRDefault="0062071A" w:rsidP="000A3F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Potrubí studené, teplé a teplé cirkulační vody jsou vedena pod stropem v suterénu objektu a jsou na ně napojeny stoupací potrubí pro jednotlivé byty. Rozvody teplé a studené vody jsou ve všech bytech řešeny stejným způsobem. Na stoupacím potrubí jsou osazeny kulové uzavírací kohouty a vodoměry pro fakturaci</w:t>
      </w:r>
      <w:r w:rsidR="00AB298A">
        <w:rPr>
          <w:rFonts w:ascii="Times New Roman" w:hAnsi="Times New Roman" w:cs="Times New Roman"/>
          <w:sz w:val="24"/>
          <w:szCs w:val="24"/>
        </w:rPr>
        <w:t xml:space="preserve"> odběru</w:t>
      </w:r>
      <w:r>
        <w:rPr>
          <w:rFonts w:ascii="Times New Roman" w:hAnsi="Times New Roman" w:cs="Times New Roman"/>
          <w:sz w:val="24"/>
          <w:szCs w:val="24"/>
        </w:rPr>
        <w:t xml:space="preserve"> teplé a studené vody</w:t>
      </w:r>
      <w:r w:rsidR="0012088B">
        <w:rPr>
          <w:rFonts w:ascii="Times New Roman" w:hAnsi="Times New Roman" w:cs="Times New Roman"/>
          <w:sz w:val="24"/>
          <w:szCs w:val="24"/>
        </w:rPr>
        <w:t xml:space="preserve">. Vodoměry s uzávěry jsou umístěny ve vestavěných skříních, které jsou umístěny </w:t>
      </w:r>
      <w:r w:rsidR="00AB298A">
        <w:rPr>
          <w:rFonts w:ascii="Times New Roman" w:hAnsi="Times New Roman" w:cs="Times New Roman"/>
          <w:sz w:val="24"/>
          <w:szCs w:val="24"/>
        </w:rPr>
        <w:t>po</w:t>
      </w:r>
      <w:r w:rsidR="0012088B">
        <w:rPr>
          <w:rFonts w:ascii="Times New Roman" w:hAnsi="Times New Roman" w:cs="Times New Roman"/>
          <w:sz w:val="24"/>
          <w:szCs w:val="24"/>
        </w:rPr>
        <w:t>dle dispozice jednotlivých bytů.</w:t>
      </w:r>
      <w:r w:rsidR="00AB298A">
        <w:rPr>
          <w:rFonts w:ascii="Times New Roman" w:hAnsi="Times New Roman" w:cs="Times New Roman"/>
          <w:sz w:val="24"/>
          <w:szCs w:val="24"/>
        </w:rPr>
        <w:t xml:space="preserve"> V bytech č. 1 a č. 4 je potrubí ze skříní, kde jsou umístěny vodoměry, vedeno do podlahy. Připojovací potrubí jednotlivých výtokových armatur je pak vedeno ve drážkách ve zdivu nebo v</w:t>
      </w:r>
      <w:r w:rsidR="00FE302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E3022">
        <w:rPr>
          <w:rFonts w:ascii="Times New Roman" w:hAnsi="Times New Roman" w:cs="Times New Roman"/>
          <w:sz w:val="24"/>
          <w:szCs w:val="24"/>
        </w:rPr>
        <w:t>předstěn</w:t>
      </w:r>
      <w:r w:rsidR="00AB298A">
        <w:rPr>
          <w:rFonts w:ascii="Times New Roman" w:hAnsi="Times New Roman" w:cs="Times New Roman"/>
          <w:sz w:val="24"/>
          <w:szCs w:val="24"/>
        </w:rPr>
        <w:t>ových</w:t>
      </w:r>
      <w:proofErr w:type="spellEnd"/>
      <w:r w:rsidR="00AB298A">
        <w:rPr>
          <w:rFonts w:ascii="Times New Roman" w:hAnsi="Times New Roman" w:cs="Times New Roman"/>
          <w:sz w:val="24"/>
          <w:szCs w:val="24"/>
        </w:rPr>
        <w:t xml:space="preserve"> systémech. V bytech č. 2 a č. 3 jsou skří</w:t>
      </w:r>
      <w:r w:rsidR="00FE3022">
        <w:rPr>
          <w:rFonts w:ascii="Times New Roman" w:hAnsi="Times New Roman" w:cs="Times New Roman"/>
          <w:sz w:val="24"/>
          <w:szCs w:val="24"/>
        </w:rPr>
        <w:t>ně s vodoměry umístěny přímo v </w:t>
      </w:r>
      <w:proofErr w:type="spellStart"/>
      <w:r w:rsidR="00FE3022">
        <w:rPr>
          <w:rFonts w:ascii="Times New Roman" w:hAnsi="Times New Roman" w:cs="Times New Roman"/>
          <w:sz w:val="24"/>
          <w:szCs w:val="24"/>
        </w:rPr>
        <w:t>předstěnových</w:t>
      </w:r>
      <w:proofErr w:type="spellEnd"/>
      <w:r w:rsidR="00FE3022">
        <w:rPr>
          <w:rFonts w:ascii="Times New Roman" w:hAnsi="Times New Roman" w:cs="Times New Roman"/>
          <w:sz w:val="24"/>
          <w:szCs w:val="24"/>
        </w:rPr>
        <w:t xml:space="preserve"> systémech a v podlaze je potrubí vedeno pouze pro připojení nejvzdálenějších výtokových armatur v kuchyních. </w:t>
      </w:r>
    </w:p>
    <w:p w:rsidR="00761D79" w:rsidRDefault="00761D79" w:rsidP="00C12432">
      <w:pPr>
        <w:rPr>
          <w:rFonts w:ascii="Times New Roman" w:hAnsi="Times New Roman" w:cs="Times New Roman"/>
          <w:sz w:val="24"/>
          <w:szCs w:val="24"/>
        </w:rPr>
      </w:pPr>
    </w:p>
    <w:p w:rsidR="006378F2" w:rsidRDefault="006378F2" w:rsidP="006378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Provedení</w:t>
      </w:r>
      <w:r w:rsidRPr="00114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378F2" w:rsidRDefault="006378F2" w:rsidP="006378F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Materiál</w:t>
      </w:r>
      <w:r w:rsidR="0032278F">
        <w:rPr>
          <w:rFonts w:ascii="Times New Roman" w:hAnsi="Times New Roman" w:cs="Times New Roman"/>
          <w:b/>
          <w:sz w:val="24"/>
          <w:szCs w:val="24"/>
          <w:u w:val="single"/>
        </w:rPr>
        <w:t xml:space="preserve"> potrubí</w:t>
      </w:r>
    </w:p>
    <w:p w:rsidR="006378F2" w:rsidRDefault="0032278F" w:rsidP="0032278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potrubí je provedeno z PPR typu 3. Rozdíly v montovaném potrubí jsou pouze v jeho tlakové odolnosti. Potrubí studené vody je navrženo s tlakovou odolností PN 10 a potrubí teplé vody a teplé cirkulační vody s tlakovou odolností PN 16. Pro připojení k jednotlivým zařízením nebo armaturám musí bát vždy použité vhodné spojky, popř</w:t>
      </w:r>
      <w:r w:rsidR="008228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přechody.</w:t>
      </w:r>
      <w:r w:rsidR="00B17B79">
        <w:rPr>
          <w:rFonts w:ascii="Times New Roman" w:hAnsi="Times New Roman" w:cs="Times New Roman"/>
          <w:sz w:val="24"/>
          <w:szCs w:val="24"/>
        </w:rPr>
        <w:t xml:space="preserve"> Projekt neřeší kompenzaci délkových změn potrubí, způsobenou vlivem teplotní roztažnosti materiálu. Při montáži se musí kompenzace řešit dle podkladů výrobce potrubí, aby bylo účinně zabráněno deformacím a poškození potrubí. </w:t>
      </w:r>
    </w:p>
    <w:p w:rsidR="00B17B79" w:rsidRDefault="00B17B79" w:rsidP="003227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78F" w:rsidRDefault="0032278F" w:rsidP="0032278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Uložení potrubí</w:t>
      </w:r>
    </w:p>
    <w:p w:rsidR="00B17B79" w:rsidRDefault="0032278F" w:rsidP="00637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2280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suterénu je potrubí vedeno volně, upevněné ke zdivu</w:t>
      </w:r>
      <w:r w:rsidR="00822807">
        <w:rPr>
          <w:rFonts w:ascii="Times New Roman" w:hAnsi="Times New Roman" w:cs="Times New Roman"/>
          <w:sz w:val="24"/>
          <w:szCs w:val="24"/>
        </w:rPr>
        <w:t xml:space="preserve"> nebo ke stropu</w:t>
      </w:r>
      <w:r>
        <w:rPr>
          <w:rFonts w:ascii="Times New Roman" w:hAnsi="Times New Roman" w:cs="Times New Roman"/>
          <w:sz w:val="24"/>
          <w:szCs w:val="24"/>
        </w:rPr>
        <w:t xml:space="preserve"> pomocí objímek s pryžovou vložkou</w:t>
      </w:r>
      <w:r w:rsidR="00822807">
        <w:rPr>
          <w:rFonts w:ascii="Times New Roman" w:hAnsi="Times New Roman" w:cs="Times New Roman"/>
          <w:sz w:val="24"/>
          <w:szCs w:val="24"/>
        </w:rPr>
        <w:t>. V jednotlivých bytech je potrubí vedeno ve zdivu v drážce, v </w:t>
      </w:r>
      <w:proofErr w:type="spellStart"/>
      <w:r w:rsidR="00822807">
        <w:rPr>
          <w:rFonts w:ascii="Times New Roman" w:hAnsi="Times New Roman" w:cs="Times New Roman"/>
          <w:sz w:val="24"/>
          <w:szCs w:val="24"/>
        </w:rPr>
        <w:t>předstěnových</w:t>
      </w:r>
      <w:proofErr w:type="spellEnd"/>
      <w:r w:rsidR="00822807">
        <w:rPr>
          <w:rFonts w:ascii="Times New Roman" w:hAnsi="Times New Roman" w:cs="Times New Roman"/>
          <w:sz w:val="24"/>
          <w:szCs w:val="24"/>
        </w:rPr>
        <w:t xml:space="preserve"> systémech a v podlahách. Při průchodu stropní konstrukcí musí být potrubí opatřeno chráničkou. V podlahách je potrubí vedeno v izolační vrstvě a nesmí dojít k</w:t>
      </w:r>
      <w:r w:rsidR="00B17B79">
        <w:rPr>
          <w:rFonts w:ascii="Times New Roman" w:hAnsi="Times New Roman" w:cs="Times New Roman"/>
          <w:sz w:val="24"/>
          <w:szCs w:val="24"/>
        </w:rPr>
        <w:t xml:space="preserve"> jeho zalití betonovým potěrem. </w:t>
      </w:r>
    </w:p>
    <w:p w:rsidR="00B17B79" w:rsidRDefault="00B17B79" w:rsidP="00B17B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Spady potrubí</w:t>
      </w:r>
    </w:p>
    <w:p w:rsidR="00B17B79" w:rsidRDefault="00B17B79" w:rsidP="00B1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Veškeré potrubí je vedeno ve spádu min. 0,3 %. Potrubí v suterénu se vyspáruje směrem k vodovodní přípojce, kdežto potrubí v jednotlivých bytech směrem k výtokovým armaturám.</w:t>
      </w:r>
    </w:p>
    <w:p w:rsidR="00B17B79" w:rsidRDefault="00B17B79" w:rsidP="00B17B7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Vzdálenosti</w:t>
      </w:r>
      <w:r w:rsidR="002E52A4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závěsů potrubí</w:t>
      </w:r>
    </w:p>
    <w:tbl>
      <w:tblPr>
        <w:tblStyle w:val="Mkatabulky"/>
        <w:tblW w:w="0" w:type="auto"/>
        <w:tblLook w:val="04A0"/>
      </w:tblPr>
      <w:tblGrid>
        <w:gridCol w:w="2093"/>
        <w:gridCol w:w="3402"/>
        <w:gridCol w:w="3717"/>
      </w:tblGrid>
      <w:tr w:rsidR="00CE6D56" w:rsidTr="00CE6D56">
        <w:tc>
          <w:tcPr>
            <w:tcW w:w="2093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 Potrubí v mm</w:t>
            </w:r>
          </w:p>
        </w:tc>
        <w:tc>
          <w:tcPr>
            <w:tcW w:w="3402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Potrubí studené vody</w:t>
            </w:r>
          </w:p>
        </w:tc>
        <w:tc>
          <w:tcPr>
            <w:tcW w:w="3717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Potrubí teplé a cirkulační vody</w:t>
            </w:r>
          </w:p>
        </w:tc>
      </w:tr>
      <w:tr w:rsidR="00CE6D56" w:rsidTr="00CE6D56">
        <w:tc>
          <w:tcPr>
            <w:tcW w:w="2093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cm</w:t>
            </w:r>
          </w:p>
        </w:tc>
        <w:tc>
          <w:tcPr>
            <w:tcW w:w="3717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cm</w:t>
            </w:r>
          </w:p>
        </w:tc>
      </w:tr>
      <w:tr w:rsidR="00CE6D56" w:rsidTr="00CE6D56">
        <w:tc>
          <w:tcPr>
            <w:tcW w:w="2093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cm</w:t>
            </w:r>
          </w:p>
        </w:tc>
        <w:tc>
          <w:tcPr>
            <w:tcW w:w="3717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cm</w:t>
            </w:r>
          </w:p>
        </w:tc>
      </w:tr>
      <w:tr w:rsidR="00CE6D56" w:rsidTr="00CE6D56">
        <w:tc>
          <w:tcPr>
            <w:tcW w:w="2093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cm</w:t>
            </w:r>
          </w:p>
        </w:tc>
        <w:tc>
          <w:tcPr>
            <w:tcW w:w="3717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</w:p>
        </w:tc>
      </w:tr>
      <w:tr w:rsidR="00CE6D56" w:rsidTr="00CE6D56">
        <w:tc>
          <w:tcPr>
            <w:tcW w:w="2093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cm</w:t>
            </w:r>
          </w:p>
        </w:tc>
        <w:tc>
          <w:tcPr>
            <w:tcW w:w="3717" w:type="dxa"/>
            <w:vAlign w:val="center"/>
          </w:tcPr>
          <w:p w:rsidR="00CE6D56" w:rsidRDefault="00CE6D56" w:rsidP="00C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</w:p>
        </w:tc>
      </w:tr>
    </w:tbl>
    <w:p w:rsidR="00CE6D56" w:rsidRDefault="00CE6D56" w:rsidP="00CE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7B79" w:rsidRDefault="00CE6D56" w:rsidP="00B1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vedení svislého potrubí se vzdálenost závěsů násobí koeficientem 1,3.</w:t>
      </w:r>
    </w:p>
    <w:p w:rsidR="00CE6D56" w:rsidRDefault="00CE6D56" w:rsidP="00B17B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6D56" w:rsidRDefault="00CE6D56" w:rsidP="00CE6D5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5. Tepelné izolace</w:t>
      </w:r>
      <w:r w:rsidRPr="00114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CE6D56" w:rsidRDefault="00544DEB" w:rsidP="00B1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Veškeré potrubí musí být v celé své délce tepelně izolováno. Potrubí studené vody se izoluje, aby bylo zamezeno oteplování a znehodnocování studené pitné vody a potrubí teplé vody a teplé cirkulační vody se izoluje, aby došlo ke zmenšení tepelných ztrát potrubí (z ekonomického důvodu) a aby v případě delších prodlev odběru teplé vody docházelo k jejímu pomalejšímu chladnutí. K provedení tepelné izolace potrubí se použije pěněného polyetylenu ve formě </w:t>
      </w:r>
      <w:proofErr w:type="spellStart"/>
      <w:r>
        <w:rPr>
          <w:rFonts w:ascii="Times New Roman" w:hAnsi="Times New Roman" w:cs="Times New Roman"/>
          <w:sz w:val="24"/>
          <w:szCs w:val="24"/>
        </w:rPr>
        <w:t>návlekových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trubic</w:t>
      </w:r>
      <w:r w:rsidR="00F71DA2">
        <w:rPr>
          <w:rFonts w:ascii="Times New Roman" w:hAnsi="Times New Roman" w:cs="Times New Roman"/>
          <w:sz w:val="24"/>
          <w:szCs w:val="24"/>
        </w:rPr>
        <w:t xml:space="preserve"> a minerální vaty s hliníkovou folií.</w:t>
      </w:r>
    </w:p>
    <w:p w:rsidR="00544DEB" w:rsidRPr="00B17B79" w:rsidRDefault="00544DEB" w:rsidP="00B17B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Tepelná izolace potrubí studené vody musí mít tloušťku. </w:t>
      </w:r>
      <w:proofErr w:type="gramStart"/>
      <w:r>
        <w:rPr>
          <w:rFonts w:ascii="Times New Roman" w:hAnsi="Times New Roman" w:cs="Times New Roman"/>
          <w:sz w:val="24"/>
          <w:szCs w:val="24"/>
        </w:rPr>
        <w:t>min.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 mm. </w:t>
      </w:r>
    </w:p>
    <w:p w:rsidR="00544DEB" w:rsidRDefault="00544DEB" w:rsidP="00544D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Tepelná izolace potrubí teplé a cirkulační vody musí mít min. tloušťku dle dimenze potrubí. </w:t>
      </w:r>
    </w:p>
    <w:tbl>
      <w:tblPr>
        <w:tblStyle w:val="Mkatabulky"/>
        <w:tblW w:w="8613" w:type="dxa"/>
        <w:tblLook w:val="04A0"/>
      </w:tblPr>
      <w:tblGrid>
        <w:gridCol w:w="2235"/>
        <w:gridCol w:w="6378"/>
      </w:tblGrid>
      <w:tr w:rsidR="00544DEB" w:rsidTr="00F71DA2">
        <w:tc>
          <w:tcPr>
            <w:tcW w:w="2235" w:type="dxa"/>
            <w:vAlign w:val="center"/>
          </w:tcPr>
          <w:p w:rsidR="00544DEB" w:rsidRDefault="00544DEB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 Potrubí v mm</w:t>
            </w:r>
          </w:p>
        </w:tc>
        <w:tc>
          <w:tcPr>
            <w:tcW w:w="6378" w:type="dxa"/>
            <w:vAlign w:val="center"/>
          </w:tcPr>
          <w:p w:rsidR="00544DEB" w:rsidRDefault="00544DEB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Tloušťka tepelné izolace potrubí teplé a cirkulační vody v mm</w:t>
            </w:r>
          </w:p>
        </w:tc>
      </w:tr>
      <w:tr w:rsidR="00544DEB" w:rsidTr="00F71DA2">
        <w:tc>
          <w:tcPr>
            <w:tcW w:w="2235" w:type="dxa"/>
            <w:vAlign w:val="center"/>
          </w:tcPr>
          <w:p w:rsidR="00544DEB" w:rsidRDefault="00544DEB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  <w:vAlign w:val="center"/>
          </w:tcPr>
          <w:p w:rsidR="00544DEB" w:rsidRDefault="00F71DA2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pěněný PE</w:t>
            </w:r>
          </w:p>
        </w:tc>
      </w:tr>
      <w:tr w:rsidR="00544DEB" w:rsidTr="00F71DA2">
        <w:tc>
          <w:tcPr>
            <w:tcW w:w="2235" w:type="dxa"/>
            <w:vAlign w:val="center"/>
          </w:tcPr>
          <w:p w:rsidR="00544DEB" w:rsidRDefault="00544DEB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  <w:vAlign w:val="center"/>
          </w:tcPr>
          <w:p w:rsidR="00544DEB" w:rsidRDefault="00F71DA2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– pěněný PE</w:t>
            </w:r>
          </w:p>
        </w:tc>
      </w:tr>
      <w:tr w:rsidR="00544DEB" w:rsidTr="00F71DA2">
        <w:tc>
          <w:tcPr>
            <w:tcW w:w="2235" w:type="dxa"/>
            <w:vAlign w:val="center"/>
          </w:tcPr>
          <w:p w:rsidR="00544DEB" w:rsidRDefault="00544DEB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  <w:vAlign w:val="center"/>
          </w:tcPr>
          <w:p w:rsidR="00544DEB" w:rsidRDefault="00F71DA2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– minerální vata s AL folií</w:t>
            </w:r>
          </w:p>
        </w:tc>
      </w:tr>
      <w:tr w:rsidR="00544DEB" w:rsidTr="00F71DA2">
        <w:tc>
          <w:tcPr>
            <w:tcW w:w="2235" w:type="dxa"/>
            <w:vAlign w:val="center"/>
          </w:tcPr>
          <w:p w:rsidR="00544DEB" w:rsidRDefault="00544DEB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78" w:type="dxa"/>
            <w:vAlign w:val="center"/>
          </w:tcPr>
          <w:p w:rsidR="00544DEB" w:rsidRDefault="00F71DA2" w:rsidP="00F71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minerální vata s AL folií</w:t>
            </w:r>
          </w:p>
        </w:tc>
      </w:tr>
    </w:tbl>
    <w:p w:rsidR="00544DEB" w:rsidRDefault="00544DEB" w:rsidP="00544D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F5E" w:rsidRDefault="00614F5E" w:rsidP="00614F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4F5E" w:rsidRDefault="00614F5E" w:rsidP="00614F5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4F5E" w:rsidRDefault="00614F5E" w:rsidP="00614F5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6. Zkoušky vodovodu</w:t>
      </w:r>
      <w:r w:rsidRPr="00114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14F5E" w:rsidRDefault="00614F5E" w:rsidP="00614F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.1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Proplach potrubí </w:t>
      </w:r>
    </w:p>
    <w:p w:rsidR="00614F5E" w:rsidRPr="00614F5E" w:rsidRDefault="00614F5E" w:rsidP="00614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Proplach potrubí se provádí za účelem vyplavení nečistot a drobných částic, které se do potrubí dostaly během jeho montáže. Při proplachu musí dojít k volnému průtoku vody ze všech výtokových míst. </w:t>
      </w:r>
    </w:p>
    <w:p w:rsidR="00D83B8B" w:rsidRDefault="00614F5E" w:rsidP="00614F5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6.2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Tlaková zkouška</w:t>
      </w:r>
    </w:p>
    <w:p w:rsidR="00614F5E" w:rsidRDefault="00D83B8B" w:rsidP="00614F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Tlaková zkouška se provádí za účelem kontroly těsnosti potrubí a armatur. Po dobu 12 hodin se vnitřní vodovod </w:t>
      </w:r>
      <w:proofErr w:type="spellStart"/>
      <w:r>
        <w:rPr>
          <w:rFonts w:ascii="Times New Roman" w:hAnsi="Times New Roman" w:cs="Times New Roman"/>
          <w:sz w:val="24"/>
          <w:szCs w:val="24"/>
        </w:rPr>
        <w:t>natlakuje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1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. Zkouška se provádí bez nainstalovaných výtokových armatur, mohlo by totiž dojít k jejich poškození. Místa pro instalaci výtokových armatur budou během zkoušky provizorně zatěsněna montážními zátkami. Pokud během této zkušební doby nedojde k výraznému úbytku tlaku, a k zjištění netěsnosti na potrubí, je zkouška považována za úspěšnou. O provedení zkoušky a jejím výsledku musí být sepsán patřičný protokol.</w:t>
      </w:r>
    </w:p>
    <w:p w:rsidR="00D83B8B" w:rsidRDefault="00D83B8B" w:rsidP="00D83B8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6.3</w:t>
      </w:r>
      <w:r w:rsidRPr="00943B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4E49">
        <w:rPr>
          <w:rFonts w:ascii="Times New Roman" w:hAnsi="Times New Roman" w:cs="Times New Roman"/>
          <w:b/>
          <w:sz w:val="24"/>
          <w:szCs w:val="24"/>
          <w:u w:val="single"/>
        </w:rPr>
        <w:t>Dezinfekce potrubí</w:t>
      </w:r>
    </w:p>
    <w:p w:rsidR="009A2158" w:rsidRDefault="009A2158" w:rsidP="009A2158">
      <w:pPr>
        <w:pStyle w:val="perex"/>
        <w:spacing w:line="276" w:lineRule="auto"/>
        <w:jc w:val="both"/>
        <w:rPr>
          <w:rStyle w:val="Siln"/>
          <w:b w:val="0"/>
        </w:rPr>
      </w:pPr>
      <w:r w:rsidRPr="009A2158">
        <w:t>Dezinfekce</w:t>
      </w:r>
      <w:r>
        <w:t xml:space="preserve"> potrubí se provádí pomocí roztoku aktivního chlóru.</w:t>
      </w:r>
      <w:r w:rsidRPr="009A2158">
        <w:t xml:space="preserve"> </w:t>
      </w:r>
      <w:r>
        <w:t xml:space="preserve">K hotovému vodovodu, který je po tlakové zkoušce již osazen výtokovými armaturami a napuštěn vodou je připojeno </w:t>
      </w:r>
      <w:hyperlink r:id="rId8" w:tgtFrame="_top" w:history="1">
        <w:r w:rsidRPr="009A2158">
          <w:rPr>
            <w:rStyle w:val="Hypertextovodkaz"/>
            <w:color w:val="auto"/>
            <w:u w:val="none"/>
          </w:rPr>
          <w:t>dávkovací čerpadlo</w:t>
        </w:r>
      </w:hyperlink>
      <w:r>
        <w:t xml:space="preserve">, které postupně načerpá do potrubí dezinfekční činidlo. Následuje doba zdržení vody s dezinfekčním činidlem v potrubí, kdy dochází k vlastní dezinfekci potrubí. Po uplynutí této doby je dezinfekční činidlo z potrubí vody postupně vypuštěno s využitím </w:t>
      </w:r>
      <w:hyperlink r:id="rId9" w:tgtFrame="_parent" w:history="1">
        <w:r w:rsidRPr="009A2158">
          <w:rPr>
            <w:rStyle w:val="Hypertextovodkaz"/>
            <w:color w:val="auto"/>
            <w:u w:val="none"/>
          </w:rPr>
          <w:t>neutralizačního zásobníku</w:t>
        </w:r>
      </w:hyperlink>
      <w:r w:rsidRPr="009A2158">
        <w:t>.</w:t>
      </w:r>
      <w:r>
        <w:rPr>
          <w:rStyle w:val="Siln"/>
        </w:rPr>
        <w:t xml:space="preserve"> </w:t>
      </w:r>
      <w:r w:rsidRPr="009A2158">
        <w:rPr>
          <w:rStyle w:val="Siln"/>
          <w:b w:val="0"/>
        </w:rPr>
        <w:t>Následn</w:t>
      </w:r>
      <w:r>
        <w:rPr>
          <w:rStyle w:val="Siln"/>
          <w:b w:val="0"/>
        </w:rPr>
        <w:t>ě se potrubí propláchne pitnou vodou (voda v potrubí se musí min. 5 krát vyměnit) a odebere se vzorek pro krácený rozbor. Výsledek kráceného rozboru rozhodne, zda je možné vnitřní vodovod bezpečně používat a jako takový musí být rovněž zapsán do patřičného protokolu.</w:t>
      </w:r>
    </w:p>
    <w:p w:rsidR="0082730E" w:rsidRDefault="0082730E" w:rsidP="009A2158">
      <w:pPr>
        <w:pStyle w:val="perex"/>
        <w:spacing w:line="276" w:lineRule="auto"/>
        <w:jc w:val="both"/>
        <w:rPr>
          <w:rStyle w:val="Siln"/>
          <w:b w:val="0"/>
        </w:rPr>
      </w:pPr>
    </w:p>
    <w:p w:rsidR="0082730E" w:rsidRDefault="0082730E" w:rsidP="008273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7. Pokyny pro montáž</w:t>
      </w:r>
      <w:r w:rsidRPr="00114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2730E" w:rsidRDefault="0082730E" w:rsidP="0082730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montáži musí být dodrženy veškeré zásady BOZP. Dodrženy musí také být všechny technologické postupy a montážní předpisy výrobců, aby nedošlo k případným poruchám nebo nefunkčnosti systému. </w:t>
      </w:r>
    </w:p>
    <w:p w:rsidR="0082730E" w:rsidRDefault="0082730E" w:rsidP="009A2158">
      <w:pPr>
        <w:pStyle w:val="perex"/>
        <w:spacing w:line="276" w:lineRule="auto"/>
        <w:jc w:val="both"/>
      </w:pPr>
    </w:p>
    <w:p w:rsidR="0082730E" w:rsidRDefault="0082730E" w:rsidP="008273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8. Pokyny pro obsluhu</w:t>
      </w:r>
      <w:r w:rsidRPr="0011446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2730E" w:rsidRDefault="0082730E" w:rsidP="009A2158">
      <w:pPr>
        <w:pStyle w:val="perex"/>
        <w:spacing w:line="276" w:lineRule="auto"/>
        <w:jc w:val="both"/>
      </w:pPr>
      <w:r>
        <w:t>Patřičně vyškolená a způsobilá osoba musí během provozu vnitřního vodovodu</w:t>
      </w:r>
      <w:r w:rsidR="006C0A69">
        <w:t xml:space="preserve"> zajistit alespoň jednou ročně čištění filtru, kontrolu správné funkce ochranné jednotky (zpětného ventilu), protočit cirkulační čerpadlo, přeměřit správný průtok v cirkulačním potrubí. Jednou za 4 roky se pak musí vyměnit domovní a bytové vodoměry a odeslat na překalibrování.</w:t>
      </w:r>
    </w:p>
    <w:p w:rsidR="006C0A69" w:rsidRDefault="006C0A69" w:rsidP="006C0A6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9. Seznam citovaných norem a legislativních předpisů:</w:t>
      </w:r>
    </w:p>
    <w:p w:rsidR="006C0A69" w:rsidRDefault="00DC1A90" w:rsidP="006C0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ČSN 75 5409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Vnitřní vodovody</w:t>
      </w:r>
    </w:p>
    <w:p w:rsidR="00DC1A90" w:rsidRDefault="00DC1A90" w:rsidP="006C0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ČSN EN 806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Vnitřní vodovody pro rozvod vody určené k lidské spotřebě</w:t>
      </w:r>
    </w:p>
    <w:p w:rsidR="00DC1A90" w:rsidRDefault="00DC1A90" w:rsidP="006C0A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ČSN 75 5455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 Výpočet vnitřních vodovodů</w:t>
      </w:r>
    </w:p>
    <w:p w:rsidR="009F70D1" w:rsidRDefault="009F70D1" w:rsidP="009F70D1">
      <w:pPr>
        <w:pStyle w:val="Nadpis1"/>
        <w:ind w:left="2130" w:hanging="2130"/>
        <w:jc w:val="both"/>
        <w:rPr>
          <w:sz w:val="24"/>
          <w:szCs w:val="24"/>
        </w:rPr>
      </w:pPr>
      <w:r w:rsidRPr="007C4A69">
        <w:rPr>
          <w:b w:val="0"/>
          <w:sz w:val="24"/>
          <w:szCs w:val="24"/>
        </w:rPr>
        <w:t>ČSN EN 1717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- </w:t>
      </w:r>
      <w:r w:rsidRPr="009F70D1">
        <w:rPr>
          <w:b w:val="0"/>
          <w:sz w:val="24"/>
          <w:szCs w:val="24"/>
        </w:rPr>
        <w:t xml:space="preserve">Ochrana proti znečištění pitné vody ve vnitřních vodovodech a </w:t>
      </w:r>
      <w:r>
        <w:rPr>
          <w:b w:val="0"/>
          <w:sz w:val="24"/>
          <w:szCs w:val="24"/>
        </w:rPr>
        <w:br/>
      </w:r>
      <w:r w:rsidRPr="009F70D1">
        <w:rPr>
          <w:b w:val="0"/>
          <w:sz w:val="24"/>
          <w:szCs w:val="24"/>
        </w:rPr>
        <w:t>všeobecné požadavky na zařízení na ochranu proti znečištění zpětným průtokem</w:t>
      </w:r>
    </w:p>
    <w:p w:rsidR="00063EE1" w:rsidRPr="006C0A69" w:rsidRDefault="00063EE1" w:rsidP="007C4A69">
      <w:pPr>
        <w:spacing w:after="24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120/2011 Sb.,</w:t>
      </w:r>
      <w:r>
        <w:rPr>
          <w:rFonts w:ascii="Times New Roman" w:hAnsi="Times New Roman" w:cs="Times New Roman"/>
          <w:sz w:val="24"/>
          <w:szCs w:val="24"/>
        </w:rPr>
        <w:tab/>
        <w:t>kterou se mění vyhláška Ministerstva zemědělství č. 428/2001 Sb., kterou se provádí zákon č. 274/2001 Sb. o vodovodech a kanalizacích pro veřejnou potřebu.</w:t>
      </w:r>
    </w:p>
    <w:p w:rsidR="007C4A69" w:rsidRPr="007C501B" w:rsidRDefault="007C4A69" w:rsidP="007C4A69">
      <w:pPr>
        <w:spacing w:after="240"/>
        <w:ind w:left="2832" w:hanging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Vyhláška č. 252/2004 Sb.,</w:t>
      </w:r>
      <w:r>
        <w:rPr>
          <w:rFonts w:ascii="Times New Roman" w:hAnsi="Times New Roman" w:cs="Times New Roman"/>
          <w:sz w:val="24"/>
          <w:szCs w:val="24"/>
        </w:rPr>
        <w:tab/>
        <w:t xml:space="preserve">kterou se </w:t>
      </w:r>
      <w:r w:rsidRPr="007C4A69">
        <w:rPr>
          <w:rFonts w:ascii="Times New Roman" w:hAnsi="Times New Roman" w:cs="Times New Roman"/>
          <w:sz w:val="24"/>
          <w:szCs w:val="24"/>
        </w:rPr>
        <w:t>stanoví požadavky na pitnou vodu a rozsah a četnost její kontroly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A69" w:rsidRDefault="006C0A69" w:rsidP="009A2158">
      <w:pPr>
        <w:pStyle w:val="perex"/>
        <w:spacing w:line="276" w:lineRule="auto"/>
        <w:jc w:val="both"/>
      </w:pPr>
    </w:p>
    <w:p w:rsidR="00B34E49" w:rsidRPr="009A2158" w:rsidRDefault="00B34E49" w:rsidP="00D83B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B8B" w:rsidRPr="00D83B8B" w:rsidRDefault="00D83B8B" w:rsidP="00614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380D" w:rsidRPr="00B17B79" w:rsidRDefault="0030380D" w:rsidP="00544D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278F" w:rsidRPr="0032278F" w:rsidRDefault="0032278F" w:rsidP="00637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8F2" w:rsidRPr="006378F2" w:rsidRDefault="006378F2" w:rsidP="006378F2">
      <w:pPr>
        <w:rPr>
          <w:rFonts w:ascii="Times New Roman" w:hAnsi="Times New Roman" w:cs="Times New Roman"/>
          <w:sz w:val="24"/>
          <w:szCs w:val="24"/>
        </w:rPr>
      </w:pPr>
    </w:p>
    <w:p w:rsidR="00F74103" w:rsidRDefault="00F74103" w:rsidP="00C12432">
      <w:pPr>
        <w:rPr>
          <w:rFonts w:ascii="Times New Roman" w:hAnsi="Times New Roman" w:cs="Times New Roman"/>
          <w:sz w:val="24"/>
          <w:szCs w:val="24"/>
        </w:rPr>
      </w:pPr>
    </w:p>
    <w:p w:rsidR="00EF4A62" w:rsidRDefault="00EF4A62" w:rsidP="001D59F8">
      <w:pPr>
        <w:rPr>
          <w:rFonts w:ascii="Times New Roman" w:hAnsi="Times New Roman" w:cs="Times New Roman"/>
          <w:sz w:val="24"/>
          <w:szCs w:val="24"/>
        </w:rPr>
      </w:pPr>
    </w:p>
    <w:p w:rsidR="00943BF5" w:rsidRDefault="00943BF5" w:rsidP="00EF4A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A76" w:rsidRPr="000C745F" w:rsidRDefault="003D4A76" w:rsidP="000C745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C745F" w:rsidRDefault="000C745F" w:rsidP="0064677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C501B" w:rsidRDefault="007C501B" w:rsidP="004814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501B" w:rsidRPr="007C501B" w:rsidRDefault="007C501B" w:rsidP="007C501B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</w:p>
    <w:sectPr w:rsidR="007C501B" w:rsidRPr="007C501B" w:rsidSect="0007073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941" w:rsidRDefault="000D3941" w:rsidP="00C12432">
      <w:pPr>
        <w:spacing w:after="0" w:line="240" w:lineRule="auto"/>
      </w:pPr>
      <w:r>
        <w:separator/>
      </w:r>
    </w:p>
  </w:endnote>
  <w:endnote w:type="continuationSeparator" w:id="0">
    <w:p w:rsidR="000D3941" w:rsidRDefault="000D3941" w:rsidP="00C1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0E" w:rsidRDefault="0082730E" w:rsidP="00953D0B">
    <w:pPr>
      <w:pStyle w:val="Zpat"/>
      <w:tabs>
        <w:tab w:val="left" w:pos="6405"/>
      </w:tabs>
    </w:pPr>
    <w:sdt>
      <w:sdtPr>
        <w:id w:val="33959854"/>
        <w:docPartObj>
          <w:docPartGallery w:val="Page Numbers (Bottom of Page)"/>
          <w:docPartUnique/>
        </w:docPartObj>
      </w:sdtPr>
      <w:sdtContent>
        <w:r>
          <w:t>2013/2014</w:t>
        </w:r>
        <w:r>
          <w:tab/>
        </w:r>
        <w:fldSimple w:instr=" PAGE   \* MERGEFORMAT ">
          <w:r w:rsidR="007C4A69">
            <w:rPr>
              <w:noProof/>
            </w:rPr>
            <w:t>6</w:t>
          </w:r>
        </w:fldSimple>
      </w:sdtContent>
    </w:sdt>
    <w:r>
      <w:tab/>
    </w:r>
    <w:r>
      <w:tab/>
      <w:t>Petr DOSTÁL</w:t>
    </w:r>
  </w:p>
  <w:p w:rsidR="0082730E" w:rsidRPr="00070731" w:rsidRDefault="0082730E" w:rsidP="00953D0B">
    <w:pPr>
      <w:pStyle w:val="Zpat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941" w:rsidRDefault="000D3941" w:rsidP="00C12432">
      <w:pPr>
        <w:spacing w:after="0" w:line="240" w:lineRule="auto"/>
      </w:pPr>
      <w:r>
        <w:separator/>
      </w:r>
    </w:p>
  </w:footnote>
  <w:footnote w:type="continuationSeparator" w:id="0">
    <w:p w:rsidR="000D3941" w:rsidRDefault="000D3941" w:rsidP="00C1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30E" w:rsidRPr="00AB6E98" w:rsidRDefault="0082730E">
    <w:pPr>
      <w:pStyle w:val="Zhlav"/>
      <w:rPr>
        <w:sz w:val="18"/>
        <w:szCs w:val="18"/>
      </w:rPr>
    </w:pPr>
    <w:r w:rsidRPr="00AB6E98">
      <w:rPr>
        <w:sz w:val="18"/>
        <w:szCs w:val="18"/>
      </w:rPr>
      <w:t>SPŠS Valašské Meziříčí</w:t>
    </w:r>
    <w:r w:rsidRPr="00AB6E98">
      <w:rPr>
        <w:sz w:val="18"/>
        <w:szCs w:val="18"/>
      </w:rPr>
      <w:ptab w:relativeTo="margin" w:alignment="center" w:leader="none"/>
    </w:r>
    <w:r w:rsidRPr="00AB6E98">
      <w:rPr>
        <w:sz w:val="18"/>
        <w:szCs w:val="18"/>
      </w:rPr>
      <w:ptab w:relativeTo="margin" w:alignment="right" w:leader="none"/>
    </w:r>
    <w:r w:rsidRPr="00AB6E98">
      <w:rPr>
        <w:sz w:val="18"/>
        <w:szCs w:val="18"/>
      </w:rPr>
      <w:t>Technická zařízení budov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8E"/>
    <w:multiLevelType w:val="hybridMultilevel"/>
    <w:tmpl w:val="1102E1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10480"/>
    <w:multiLevelType w:val="hybridMultilevel"/>
    <w:tmpl w:val="EEF4CECE"/>
    <w:lvl w:ilvl="0" w:tplc="A1608A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35720B"/>
    <w:multiLevelType w:val="hybridMultilevel"/>
    <w:tmpl w:val="2CB47D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42FB3"/>
    <w:multiLevelType w:val="hybridMultilevel"/>
    <w:tmpl w:val="3482C3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2617C"/>
    <w:multiLevelType w:val="hybridMultilevel"/>
    <w:tmpl w:val="780240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F6EC4"/>
    <w:multiLevelType w:val="hybridMultilevel"/>
    <w:tmpl w:val="70A875A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467E"/>
    <w:rsid w:val="00030C4D"/>
    <w:rsid w:val="00034FA0"/>
    <w:rsid w:val="00053506"/>
    <w:rsid w:val="00054F47"/>
    <w:rsid w:val="00055342"/>
    <w:rsid w:val="00063EE1"/>
    <w:rsid w:val="00070731"/>
    <w:rsid w:val="000730C4"/>
    <w:rsid w:val="000A3FC9"/>
    <w:rsid w:val="000B335C"/>
    <w:rsid w:val="000B7930"/>
    <w:rsid w:val="000C05B8"/>
    <w:rsid w:val="000C745F"/>
    <w:rsid w:val="000D3941"/>
    <w:rsid w:val="000E2651"/>
    <w:rsid w:val="00103623"/>
    <w:rsid w:val="001073B4"/>
    <w:rsid w:val="00107ECA"/>
    <w:rsid w:val="00114465"/>
    <w:rsid w:val="00114BC7"/>
    <w:rsid w:val="0012088B"/>
    <w:rsid w:val="00141448"/>
    <w:rsid w:val="00160979"/>
    <w:rsid w:val="0017341A"/>
    <w:rsid w:val="001850BE"/>
    <w:rsid w:val="001A7A30"/>
    <w:rsid w:val="001C65D1"/>
    <w:rsid w:val="001D59F8"/>
    <w:rsid w:val="001E3383"/>
    <w:rsid w:val="001E35DD"/>
    <w:rsid w:val="00200F40"/>
    <w:rsid w:val="002079B8"/>
    <w:rsid w:val="00241A32"/>
    <w:rsid w:val="00244F25"/>
    <w:rsid w:val="00245195"/>
    <w:rsid w:val="002537B8"/>
    <w:rsid w:val="00257DDB"/>
    <w:rsid w:val="002623F7"/>
    <w:rsid w:val="00263448"/>
    <w:rsid w:val="00276317"/>
    <w:rsid w:val="002B0408"/>
    <w:rsid w:val="002B06B1"/>
    <w:rsid w:val="002D3EE3"/>
    <w:rsid w:val="002D4095"/>
    <w:rsid w:val="002E52A4"/>
    <w:rsid w:val="002F652E"/>
    <w:rsid w:val="0030380D"/>
    <w:rsid w:val="00312D78"/>
    <w:rsid w:val="0032278F"/>
    <w:rsid w:val="003347BB"/>
    <w:rsid w:val="00343505"/>
    <w:rsid w:val="003635C5"/>
    <w:rsid w:val="00386AC7"/>
    <w:rsid w:val="00395F10"/>
    <w:rsid w:val="003A481C"/>
    <w:rsid w:val="003B467E"/>
    <w:rsid w:val="003D4A76"/>
    <w:rsid w:val="003E0AA3"/>
    <w:rsid w:val="00414B7C"/>
    <w:rsid w:val="00414C89"/>
    <w:rsid w:val="00424A4A"/>
    <w:rsid w:val="0043086B"/>
    <w:rsid w:val="004640BF"/>
    <w:rsid w:val="00481465"/>
    <w:rsid w:val="004A51E7"/>
    <w:rsid w:val="004B70BF"/>
    <w:rsid w:val="00536702"/>
    <w:rsid w:val="00544DEB"/>
    <w:rsid w:val="00554F9B"/>
    <w:rsid w:val="005643F5"/>
    <w:rsid w:val="00570E80"/>
    <w:rsid w:val="00571C56"/>
    <w:rsid w:val="00576295"/>
    <w:rsid w:val="00593A8D"/>
    <w:rsid w:val="005A0593"/>
    <w:rsid w:val="005B513B"/>
    <w:rsid w:val="005C6347"/>
    <w:rsid w:val="005E1E38"/>
    <w:rsid w:val="005E37AB"/>
    <w:rsid w:val="006129DA"/>
    <w:rsid w:val="00614F5E"/>
    <w:rsid w:val="0062071A"/>
    <w:rsid w:val="00621585"/>
    <w:rsid w:val="006237D8"/>
    <w:rsid w:val="00624228"/>
    <w:rsid w:val="006242A5"/>
    <w:rsid w:val="00630C87"/>
    <w:rsid w:val="006378F2"/>
    <w:rsid w:val="0064677B"/>
    <w:rsid w:val="006657D5"/>
    <w:rsid w:val="00681463"/>
    <w:rsid w:val="00682719"/>
    <w:rsid w:val="00686751"/>
    <w:rsid w:val="006941FF"/>
    <w:rsid w:val="00696A9D"/>
    <w:rsid w:val="006A5530"/>
    <w:rsid w:val="006B1CB7"/>
    <w:rsid w:val="006C0A69"/>
    <w:rsid w:val="006C3C4F"/>
    <w:rsid w:val="006E3210"/>
    <w:rsid w:val="0070183A"/>
    <w:rsid w:val="007201A3"/>
    <w:rsid w:val="007225F5"/>
    <w:rsid w:val="00761D79"/>
    <w:rsid w:val="00767277"/>
    <w:rsid w:val="007709CA"/>
    <w:rsid w:val="00771701"/>
    <w:rsid w:val="00773580"/>
    <w:rsid w:val="007939E1"/>
    <w:rsid w:val="007957D4"/>
    <w:rsid w:val="007A143F"/>
    <w:rsid w:val="007C4A69"/>
    <w:rsid w:val="007C501B"/>
    <w:rsid w:val="007E5EA2"/>
    <w:rsid w:val="007F4A7E"/>
    <w:rsid w:val="00801284"/>
    <w:rsid w:val="00815C40"/>
    <w:rsid w:val="00822807"/>
    <w:rsid w:val="0082730E"/>
    <w:rsid w:val="0083630E"/>
    <w:rsid w:val="008372B8"/>
    <w:rsid w:val="0084584F"/>
    <w:rsid w:val="00874D87"/>
    <w:rsid w:val="008C329C"/>
    <w:rsid w:val="008C4A89"/>
    <w:rsid w:val="008F295B"/>
    <w:rsid w:val="008F3744"/>
    <w:rsid w:val="009234C9"/>
    <w:rsid w:val="00942776"/>
    <w:rsid w:val="00943BF5"/>
    <w:rsid w:val="00945009"/>
    <w:rsid w:val="00950045"/>
    <w:rsid w:val="00953D0B"/>
    <w:rsid w:val="00954E9C"/>
    <w:rsid w:val="00955F0C"/>
    <w:rsid w:val="0098532E"/>
    <w:rsid w:val="00986E18"/>
    <w:rsid w:val="00997E13"/>
    <w:rsid w:val="009A2158"/>
    <w:rsid w:val="009A5259"/>
    <w:rsid w:val="009B12A1"/>
    <w:rsid w:val="009D06C1"/>
    <w:rsid w:val="009D3863"/>
    <w:rsid w:val="009F5ABF"/>
    <w:rsid w:val="009F70D1"/>
    <w:rsid w:val="00A15B6D"/>
    <w:rsid w:val="00A16B31"/>
    <w:rsid w:val="00A2071C"/>
    <w:rsid w:val="00A27B5E"/>
    <w:rsid w:val="00A35D12"/>
    <w:rsid w:val="00A40D75"/>
    <w:rsid w:val="00A43E27"/>
    <w:rsid w:val="00A54A67"/>
    <w:rsid w:val="00A94CE0"/>
    <w:rsid w:val="00AA1060"/>
    <w:rsid w:val="00AA31B9"/>
    <w:rsid w:val="00AA7338"/>
    <w:rsid w:val="00AB298A"/>
    <w:rsid w:val="00AB6E98"/>
    <w:rsid w:val="00AC4C55"/>
    <w:rsid w:val="00AD08FB"/>
    <w:rsid w:val="00AD14ED"/>
    <w:rsid w:val="00AE7DE8"/>
    <w:rsid w:val="00B10A93"/>
    <w:rsid w:val="00B17B79"/>
    <w:rsid w:val="00B25F30"/>
    <w:rsid w:val="00B31FD1"/>
    <w:rsid w:val="00B34E49"/>
    <w:rsid w:val="00B557B8"/>
    <w:rsid w:val="00B61408"/>
    <w:rsid w:val="00B772BD"/>
    <w:rsid w:val="00B86CAB"/>
    <w:rsid w:val="00B9342D"/>
    <w:rsid w:val="00B94498"/>
    <w:rsid w:val="00BA5602"/>
    <w:rsid w:val="00BA6341"/>
    <w:rsid w:val="00BC7DFD"/>
    <w:rsid w:val="00BD38A2"/>
    <w:rsid w:val="00BD64CF"/>
    <w:rsid w:val="00BF355B"/>
    <w:rsid w:val="00C0357D"/>
    <w:rsid w:val="00C0457E"/>
    <w:rsid w:val="00C12432"/>
    <w:rsid w:val="00C30530"/>
    <w:rsid w:val="00C320B1"/>
    <w:rsid w:val="00C42A7C"/>
    <w:rsid w:val="00C45792"/>
    <w:rsid w:val="00C51984"/>
    <w:rsid w:val="00C53C66"/>
    <w:rsid w:val="00C726BD"/>
    <w:rsid w:val="00C73FEA"/>
    <w:rsid w:val="00C85C9F"/>
    <w:rsid w:val="00CB4F4F"/>
    <w:rsid w:val="00CC4F0F"/>
    <w:rsid w:val="00CD001D"/>
    <w:rsid w:val="00CD6DAE"/>
    <w:rsid w:val="00CD72DB"/>
    <w:rsid w:val="00CE2B73"/>
    <w:rsid w:val="00CE6D56"/>
    <w:rsid w:val="00D02C52"/>
    <w:rsid w:val="00D10F16"/>
    <w:rsid w:val="00D13EC7"/>
    <w:rsid w:val="00D1626C"/>
    <w:rsid w:val="00D208C4"/>
    <w:rsid w:val="00D368AD"/>
    <w:rsid w:val="00D633EE"/>
    <w:rsid w:val="00D67123"/>
    <w:rsid w:val="00D83B8B"/>
    <w:rsid w:val="00D85789"/>
    <w:rsid w:val="00DC1A90"/>
    <w:rsid w:val="00DC757D"/>
    <w:rsid w:val="00DE42B1"/>
    <w:rsid w:val="00DE7931"/>
    <w:rsid w:val="00DE7F8D"/>
    <w:rsid w:val="00E17D75"/>
    <w:rsid w:val="00E27F1B"/>
    <w:rsid w:val="00E50B55"/>
    <w:rsid w:val="00E64E66"/>
    <w:rsid w:val="00E67857"/>
    <w:rsid w:val="00E96D64"/>
    <w:rsid w:val="00ED746F"/>
    <w:rsid w:val="00EE50B4"/>
    <w:rsid w:val="00EF4A62"/>
    <w:rsid w:val="00F16F3E"/>
    <w:rsid w:val="00F3761C"/>
    <w:rsid w:val="00F5471B"/>
    <w:rsid w:val="00F55EAB"/>
    <w:rsid w:val="00F6460F"/>
    <w:rsid w:val="00F65894"/>
    <w:rsid w:val="00F71DA2"/>
    <w:rsid w:val="00F74103"/>
    <w:rsid w:val="00F84227"/>
    <w:rsid w:val="00F901A7"/>
    <w:rsid w:val="00FA0ACC"/>
    <w:rsid w:val="00FB1F6A"/>
    <w:rsid w:val="00FB3DA9"/>
    <w:rsid w:val="00FD4F39"/>
    <w:rsid w:val="00FD6648"/>
    <w:rsid w:val="00FD68BA"/>
    <w:rsid w:val="00FE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1448"/>
  </w:style>
  <w:style w:type="paragraph" w:styleId="Nadpis1">
    <w:name w:val="heading 1"/>
    <w:basedOn w:val="Normln"/>
    <w:link w:val="Nadpis1Char"/>
    <w:uiPriority w:val="9"/>
    <w:qFormat/>
    <w:rsid w:val="009F7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467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C1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12432"/>
  </w:style>
  <w:style w:type="paragraph" w:styleId="Zpat">
    <w:name w:val="footer"/>
    <w:basedOn w:val="Normln"/>
    <w:link w:val="ZpatChar"/>
    <w:uiPriority w:val="99"/>
    <w:unhideWhenUsed/>
    <w:rsid w:val="00C12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432"/>
  </w:style>
  <w:style w:type="paragraph" w:styleId="Textbubliny">
    <w:name w:val="Balloon Text"/>
    <w:basedOn w:val="Normln"/>
    <w:link w:val="TextbublinyChar"/>
    <w:uiPriority w:val="99"/>
    <w:semiHidden/>
    <w:unhideWhenUsed/>
    <w:rsid w:val="00AB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E9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F295B"/>
    <w:pPr>
      <w:spacing w:after="0" w:line="240" w:lineRule="auto"/>
    </w:pPr>
  </w:style>
  <w:style w:type="table" w:styleId="Mkatabulky">
    <w:name w:val="Table Grid"/>
    <w:basedOn w:val="Normlntabulka"/>
    <w:uiPriority w:val="59"/>
    <w:rsid w:val="00CE6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ex">
    <w:name w:val="perex"/>
    <w:basedOn w:val="Normln"/>
    <w:rsid w:val="009A2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A215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A215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F70D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zinfekcepotrubi.cz/dez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zinfekcepotrubi.cz/dc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D4D43-1A41-40E2-88F5-24B15A9E5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5</Pages>
  <Words>1323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Dostál</dc:creator>
  <cp:keywords/>
  <dc:description/>
  <cp:lastModifiedBy>Petr Dostál</cp:lastModifiedBy>
  <cp:revision>94</cp:revision>
  <dcterms:created xsi:type="dcterms:W3CDTF">2013-01-01T09:12:00Z</dcterms:created>
  <dcterms:modified xsi:type="dcterms:W3CDTF">2014-04-01T21:02:00Z</dcterms:modified>
</cp:coreProperties>
</file>